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D45B1" w:rsidRDefault="00815F69" w:rsidP="00805DFD">
      <w:pPr>
        <w:spacing w:line="240" w:lineRule="auto"/>
        <w:rPr>
          <w:rFonts w:cstheme="minorHAnsi"/>
          <w:b/>
        </w:rPr>
      </w:pPr>
      <w:r w:rsidRPr="008A12E7">
        <w:rPr>
          <w:rFonts w:cstheme="minorHAnsi"/>
          <w:b/>
        </w:rPr>
        <w:t xml:space="preserve"> </w:t>
      </w:r>
      <w:r w:rsidR="00C1164C" w:rsidRPr="008D45B1">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5F3B686C" w14:textId="3854A968" w:rsidR="00DD4CEC" w:rsidRPr="008D45B1" w:rsidRDefault="00DD4CEC" w:rsidP="00DD4CEC">
      <w:pPr>
        <w:spacing w:line="240" w:lineRule="auto"/>
        <w:rPr>
          <w:rFonts w:cstheme="minorHAnsi"/>
          <w:b/>
        </w:rPr>
      </w:pPr>
      <w:r w:rsidRPr="008D45B1">
        <w:rPr>
          <w:rFonts w:cstheme="minorHAnsi"/>
          <w:b/>
        </w:rPr>
        <w:t xml:space="preserve">AGENT Reminders January </w:t>
      </w:r>
      <w:r w:rsidR="00BB4C15">
        <w:rPr>
          <w:rFonts w:cstheme="minorHAnsi"/>
          <w:b/>
        </w:rPr>
        <w:t>26</w:t>
      </w:r>
      <w:r w:rsidRPr="008D45B1">
        <w:rPr>
          <w:rFonts w:cstheme="minorHAnsi"/>
          <w:b/>
        </w:rPr>
        <w:t>, 2023</w:t>
      </w:r>
      <w:r w:rsidRPr="008D45B1">
        <w:rPr>
          <w:rFonts w:cstheme="minorHAnsi"/>
          <w:b/>
        </w:rPr>
        <w:tab/>
      </w:r>
    </w:p>
    <w:p w14:paraId="49F412D6" w14:textId="58B223B4" w:rsidR="001E0C33" w:rsidRPr="00BB4C15" w:rsidRDefault="00DD4CEC" w:rsidP="00BB4C15">
      <w:pPr>
        <w:spacing w:line="240" w:lineRule="auto"/>
        <w:rPr>
          <w:rFonts w:cstheme="minorHAnsi"/>
          <w:b/>
        </w:rPr>
      </w:pPr>
      <w:r w:rsidRPr="008D45B1">
        <w:rPr>
          <w:rFonts w:cstheme="minorHAnsi"/>
          <w:b/>
        </w:rPr>
        <w:tab/>
      </w:r>
      <w:r w:rsidRPr="008D45B1">
        <w:rPr>
          <w:rFonts w:cstheme="minorHAnsi"/>
          <w:b/>
        </w:rPr>
        <w:tab/>
      </w:r>
      <w:r w:rsidRPr="008D45B1">
        <w:rPr>
          <w:rFonts w:cstheme="minorHAnsi"/>
          <w:b/>
        </w:rPr>
        <w:tab/>
      </w:r>
      <w:r w:rsidRPr="008D45B1">
        <w:rPr>
          <w:rFonts w:cstheme="minorHAnsi"/>
          <w:b/>
        </w:rPr>
        <w:tab/>
      </w:r>
      <w:r w:rsidRPr="008D45B1">
        <w:rPr>
          <w:rFonts w:cstheme="minorHAnsi"/>
          <w:b/>
        </w:rPr>
        <w:tab/>
      </w:r>
    </w:p>
    <w:p w14:paraId="08866FE9" w14:textId="77777777" w:rsidR="00DD4CEC" w:rsidRPr="007A33C7" w:rsidRDefault="00DD4CEC" w:rsidP="00DD4CEC">
      <w:pPr>
        <w:pStyle w:val="ListParagraph"/>
        <w:ind w:left="360"/>
        <w:rPr>
          <w:rFonts w:asciiTheme="minorHAnsi" w:hAnsiTheme="minorHAnsi" w:cstheme="minorHAnsi"/>
          <w:b/>
          <w:bCs/>
          <w:color w:val="FF0000"/>
        </w:rPr>
      </w:pPr>
      <w:r w:rsidRPr="007A33C7">
        <w:rPr>
          <w:rFonts w:asciiTheme="minorHAnsi" w:hAnsiTheme="minorHAnsi" w:cstheme="minorHAnsi"/>
          <w:b/>
          <w:bCs/>
          <w:color w:val="FF0000"/>
        </w:rPr>
        <w:t>General</w:t>
      </w:r>
    </w:p>
    <w:p w14:paraId="25F7A28B" w14:textId="07F27946" w:rsidR="00BB4C15" w:rsidRDefault="00BB4C15" w:rsidP="00BB4C15">
      <w:pPr>
        <w:pStyle w:val="ListParagraph"/>
        <w:numPr>
          <w:ilvl w:val="0"/>
          <w:numId w:val="43"/>
        </w:numPr>
      </w:pPr>
      <w:bookmarkStart w:id="0" w:name="_Hlk125023736"/>
      <w:r w:rsidRPr="007A33C7">
        <w:t xml:space="preserve">When someone has an S-Corp and they are paying themselves a wage, we must budget the SEI using the worksheets and the income they pay themselves as earned income, not self-employment, as they are performing two separate roles within the company.  </w:t>
      </w:r>
    </w:p>
    <w:p w14:paraId="00805943" w14:textId="77777777" w:rsidR="00B11E4D" w:rsidRDefault="00B11E4D" w:rsidP="00B11E4D">
      <w:pPr>
        <w:pStyle w:val="ListParagraph"/>
        <w:numPr>
          <w:ilvl w:val="0"/>
          <w:numId w:val="43"/>
        </w:numPr>
        <w:rPr>
          <w:rFonts w:eastAsia="Times New Roman" w:cs="Calibri"/>
        </w:rPr>
      </w:pPr>
      <w:r>
        <w:t xml:space="preserve">When updating/building absent parent pages, please be sure to create a new AP page for each absent parent.  There have been a couple of instances lately where </w:t>
      </w:r>
      <w:r w:rsidRPr="00B11E4D">
        <w:rPr>
          <w:rFonts w:eastAsia="Times New Roman" w:cs="Calibri"/>
        </w:rPr>
        <w:t>where a pregnancy has ended prior to birth, a new pregnancy has been reported, and this has not been entered in correctly. It looks like the pages have been updated with the new due date for the baby, instead of the first page being deleted and a new one entered. This is causing errors in the referral to child support for the new pregnancies.</w:t>
      </w:r>
    </w:p>
    <w:p w14:paraId="468CABD7" w14:textId="77777777" w:rsidR="00372819" w:rsidRDefault="00372819" w:rsidP="00372819">
      <w:pPr>
        <w:pStyle w:val="ListParagraph"/>
        <w:numPr>
          <w:ilvl w:val="0"/>
          <w:numId w:val="43"/>
        </w:numPr>
        <w:spacing w:after="0" w:line="240" w:lineRule="auto"/>
        <w:rPr>
          <w:rFonts w:eastAsia="Times New Roman" w:cs="Calibri"/>
        </w:rPr>
      </w:pPr>
      <w:r w:rsidRPr="00372819">
        <w:rPr>
          <w:rFonts w:eastAsia="Times New Roman" w:cs="Calibri"/>
        </w:rPr>
        <w:t xml:space="preserve">If CC is open and the client reports an address change, remember to request verification using the PN code. </w:t>
      </w:r>
    </w:p>
    <w:p w14:paraId="684292C0" w14:textId="6AFE0D19" w:rsidR="001D7EE5" w:rsidRPr="001D7EE5" w:rsidRDefault="001D7EE5" w:rsidP="001D7EE5">
      <w:pPr>
        <w:pStyle w:val="ListParagraph"/>
        <w:numPr>
          <w:ilvl w:val="0"/>
          <w:numId w:val="44"/>
        </w:numPr>
        <w:ind w:left="720"/>
        <w:rPr>
          <w:rFonts w:asciiTheme="minorHAnsi" w:hAnsiTheme="minorHAnsi" w:cstheme="minorHAnsi"/>
          <w:bCs/>
          <w:iCs/>
          <w:spacing w:val="5"/>
        </w:rPr>
      </w:pPr>
      <w:r w:rsidRPr="001D7EE5">
        <w:rPr>
          <w:rFonts w:asciiTheme="minorHAnsi" w:hAnsiTheme="minorHAnsi" w:cstheme="minorHAnsi"/>
        </w:rPr>
        <w:t xml:space="preserve">Rock Valley Community Programs- </w:t>
      </w:r>
      <w:r w:rsidRPr="001D7EE5">
        <w:rPr>
          <w:rStyle w:val="BookTitle"/>
          <w:rFonts w:asciiTheme="minorHAnsi" w:hAnsiTheme="minorHAnsi" w:cstheme="minorHAnsi"/>
        </w:rPr>
        <w:t>203 West Sunny Lane Road, Janesville, WI. 608-741-4510</w:t>
      </w:r>
      <w:r w:rsidRPr="001D7EE5">
        <w:rPr>
          <w:rFonts w:asciiTheme="minorHAnsi" w:hAnsiTheme="minorHAnsi" w:cstheme="minorHAnsi"/>
        </w:rPr>
        <w:t>We received clarification that certain individuals at the Rock Valley Community Program in Rock County can be eligible for FoodShare benefits. When these individuals apply, we need to ask what program they are in.There are 3 programs:</w:t>
      </w:r>
    </w:p>
    <w:p w14:paraId="1EDFC5DA" w14:textId="7F279F84" w:rsidR="00B11E4D" w:rsidRPr="00A61F1B" w:rsidRDefault="001D7EE5" w:rsidP="00A61F1B">
      <w:pPr>
        <w:pStyle w:val="ListParagraph"/>
        <w:spacing w:after="0" w:line="240" w:lineRule="auto"/>
        <w:rPr>
          <w:rFonts w:eastAsia="Times New Roman" w:cs="Calibri"/>
        </w:rPr>
      </w:pPr>
      <w:r>
        <w:rPr>
          <w:noProof/>
        </w:rPr>
        <w:drawing>
          <wp:inline distT="0" distB="0" distL="0" distR="0" wp14:anchorId="087A68B2" wp14:editId="48765BF2">
            <wp:extent cx="5571998" cy="1421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15"/>
                    <a:stretch/>
                  </pic:blipFill>
                  <pic:spPr bwMode="auto">
                    <a:xfrm>
                      <a:off x="0" y="0"/>
                      <a:ext cx="5593126" cy="1427156"/>
                    </a:xfrm>
                    <a:prstGeom prst="rect">
                      <a:avLst/>
                    </a:prstGeom>
                    <a:ln>
                      <a:noFill/>
                    </a:ln>
                    <a:extLst>
                      <a:ext uri="{53640926-AAD7-44D8-BBD7-CCE9431645EC}">
                        <a14:shadowObscured xmlns:a14="http://schemas.microsoft.com/office/drawing/2010/main"/>
                      </a:ext>
                    </a:extLst>
                  </pic:spPr>
                </pic:pic>
              </a:graphicData>
            </a:graphic>
          </wp:inline>
        </w:drawing>
      </w:r>
    </w:p>
    <w:p w14:paraId="7C2334AA" w14:textId="24BE0C16" w:rsidR="007A33C7" w:rsidRPr="007A33C7" w:rsidRDefault="007A33C7" w:rsidP="007A33C7">
      <w:pPr>
        <w:ind w:left="360"/>
        <w:rPr>
          <w:b/>
          <w:bCs/>
          <w:color w:val="FF0000"/>
        </w:rPr>
      </w:pPr>
      <w:r w:rsidRPr="007A33C7">
        <w:rPr>
          <w:b/>
          <w:bCs/>
          <w:color w:val="FF0000"/>
        </w:rPr>
        <w:t>EBD/LTC</w:t>
      </w:r>
    </w:p>
    <w:p w14:paraId="48C786CC" w14:textId="77777777" w:rsidR="007A33C7" w:rsidRPr="007A33C7" w:rsidRDefault="007A33C7" w:rsidP="007A33C7">
      <w:pPr>
        <w:pStyle w:val="ListParagraph"/>
        <w:numPr>
          <w:ilvl w:val="0"/>
          <w:numId w:val="43"/>
        </w:numPr>
      </w:pPr>
      <w:r w:rsidRPr="007A33C7">
        <w:t xml:space="preserve">When an individual meets criteria under MEH 22.1.4.1 to require a lien to be filed on their home, we must examine the exemptions.  A person can express intent to return home which exempts the home as an asset, but does not exempt them from a lien being filed with estate recovery.  Under #3, we must have verification from a physician regarding the diagnosis and prognosis for the member that they will be able to return home to waive the lien filed.  See paragraph 2. </w:t>
      </w:r>
    </w:p>
    <w:p w14:paraId="29E26117" w14:textId="77777777" w:rsidR="007A33C7" w:rsidRDefault="007A33C7" w:rsidP="007A33C7">
      <w:pPr>
        <w:ind w:left="360"/>
      </w:pPr>
    </w:p>
    <w:bookmarkEnd w:id="0"/>
    <w:p w14:paraId="66F95C79" w14:textId="77777777" w:rsidR="003A28C3" w:rsidRPr="008D45B1" w:rsidRDefault="003A28C3" w:rsidP="003A28C3">
      <w:pPr>
        <w:pStyle w:val="ListParagraph"/>
        <w:spacing w:line="252" w:lineRule="auto"/>
        <w:rPr>
          <w:rFonts w:eastAsia="Times New Roman" w:cs="Calibri"/>
        </w:rPr>
      </w:pPr>
    </w:p>
    <w:p w14:paraId="2FCF8704" w14:textId="77777777" w:rsidR="003A28C3" w:rsidRPr="008D45B1" w:rsidRDefault="003A28C3" w:rsidP="003A28C3">
      <w:pPr>
        <w:spacing w:line="252" w:lineRule="auto"/>
        <w:ind w:left="360"/>
        <w:rPr>
          <w:rFonts w:eastAsia="Times New Roman" w:cs="Calibri"/>
        </w:rPr>
      </w:pPr>
    </w:p>
    <w:p w14:paraId="28F87FF2" w14:textId="77777777" w:rsidR="003A28C3" w:rsidRPr="008D45B1" w:rsidRDefault="003A28C3" w:rsidP="003A28C3">
      <w:pPr>
        <w:pStyle w:val="ListParagraph"/>
        <w:spacing w:after="0" w:line="240" w:lineRule="auto"/>
        <w:ind w:left="1440"/>
        <w:rPr>
          <w:rFonts w:asciiTheme="minorHAnsi" w:hAnsiTheme="minorHAnsi" w:cstheme="minorHAnsi"/>
          <w:color w:val="000000"/>
        </w:rPr>
      </w:pPr>
    </w:p>
    <w:p w14:paraId="6FB6C12E" w14:textId="77777777" w:rsidR="00DD4CEC" w:rsidRPr="008D45B1" w:rsidRDefault="00DD4CEC" w:rsidP="00DD4CEC">
      <w:pPr>
        <w:pStyle w:val="ListParagraph"/>
        <w:rPr>
          <w:rFonts w:asciiTheme="minorHAnsi" w:hAnsiTheme="minorHAnsi" w:cstheme="minorHAnsi"/>
        </w:rPr>
      </w:pPr>
    </w:p>
    <w:p w14:paraId="339C62D7" w14:textId="15650347" w:rsidR="00711498" w:rsidRPr="00711498" w:rsidRDefault="00711498" w:rsidP="00DD4CEC">
      <w:pPr>
        <w:spacing w:line="240" w:lineRule="auto"/>
        <w:rPr>
          <w:rFonts w:cstheme="minorHAnsi"/>
        </w:rPr>
      </w:pPr>
    </w:p>
    <w:sectPr w:rsidR="00711498" w:rsidRPr="00711498"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F578" w14:textId="77777777" w:rsidR="00BF6698" w:rsidRDefault="00BF6698" w:rsidP="00F11BF3">
      <w:pPr>
        <w:spacing w:after="0" w:line="240" w:lineRule="auto"/>
      </w:pPr>
      <w:r>
        <w:separator/>
      </w:r>
    </w:p>
  </w:endnote>
  <w:endnote w:type="continuationSeparator" w:id="0">
    <w:p w14:paraId="1CF4502C" w14:textId="77777777" w:rsidR="00BF6698" w:rsidRDefault="00BF6698" w:rsidP="00F11BF3">
      <w:pPr>
        <w:spacing w:after="0" w:line="240" w:lineRule="auto"/>
      </w:pPr>
      <w:r>
        <w:continuationSeparator/>
      </w:r>
    </w:p>
  </w:endnote>
  <w:endnote w:type="continuationNotice" w:id="1">
    <w:p w14:paraId="1AEE9AFB" w14:textId="77777777" w:rsidR="00BF6698" w:rsidRDefault="00BF6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F005" w14:textId="77777777" w:rsidR="00BF6698" w:rsidRDefault="00BF6698" w:rsidP="00F11BF3">
      <w:pPr>
        <w:spacing w:after="0" w:line="240" w:lineRule="auto"/>
      </w:pPr>
      <w:r>
        <w:separator/>
      </w:r>
    </w:p>
  </w:footnote>
  <w:footnote w:type="continuationSeparator" w:id="0">
    <w:p w14:paraId="7809CED2" w14:textId="77777777" w:rsidR="00BF6698" w:rsidRDefault="00BF6698" w:rsidP="00F11BF3">
      <w:pPr>
        <w:spacing w:after="0" w:line="240" w:lineRule="auto"/>
      </w:pPr>
      <w:r>
        <w:continuationSeparator/>
      </w:r>
    </w:p>
  </w:footnote>
  <w:footnote w:type="continuationNotice" w:id="1">
    <w:p w14:paraId="442D7A85" w14:textId="77777777" w:rsidR="00BF6698" w:rsidRDefault="00BF66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515"/>
    <w:multiLevelType w:val="hybridMultilevel"/>
    <w:tmpl w:val="65E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B60EA9"/>
    <w:multiLevelType w:val="hybridMultilevel"/>
    <w:tmpl w:val="82E4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883FFC"/>
    <w:multiLevelType w:val="hybridMultilevel"/>
    <w:tmpl w:val="EAD6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E0F30"/>
    <w:multiLevelType w:val="hybridMultilevel"/>
    <w:tmpl w:val="FEDE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6DA"/>
    <w:multiLevelType w:val="hybridMultilevel"/>
    <w:tmpl w:val="01CA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D00EB"/>
    <w:multiLevelType w:val="hybridMultilevel"/>
    <w:tmpl w:val="491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FB5137"/>
    <w:multiLevelType w:val="hybridMultilevel"/>
    <w:tmpl w:val="49CC7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353C9"/>
    <w:multiLevelType w:val="hybridMultilevel"/>
    <w:tmpl w:val="15FA8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0716592"/>
    <w:multiLevelType w:val="hybridMultilevel"/>
    <w:tmpl w:val="CA92BD10"/>
    <w:lvl w:ilvl="0" w:tplc="BB261BF0">
      <w:start w:val="1"/>
      <w:numFmt w:val="bullet"/>
      <w:lvlText w:val=""/>
      <w:lvlJc w:val="left"/>
      <w:pPr>
        <w:tabs>
          <w:tab w:val="num" w:pos="720"/>
        </w:tabs>
        <w:ind w:left="720" w:hanging="360"/>
      </w:pPr>
      <w:rPr>
        <w:rFonts w:ascii="Wingdings 3" w:hAnsi="Wingdings 3" w:hint="default"/>
      </w:rPr>
    </w:lvl>
    <w:lvl w:ilvl="1" w:tplc="0D4EDF86" w:tentative="1">
      <w:start w:val="1"/>
      <w:numFmt w:val="bullet"/>
      <w:lvlText w:val=""/>
      <w:lvlJc w:val="left"/>
      <w:pPr>
        <w:tabs>
          <w:tab w:val="num" w:pos="1440"/>
        </w:tabs>
        <w:ind w:left="1440" w:hanging="360"/>
      </w:pPr>
      <w:rPr>
        <w:rFonts w:ascii="Wingdings 3" w:hAnsi="Wingdings 3" w:hint="default"/>
      </w:rPr>
    </w:lvl>
    <w:lvl w:ilvl="2" w:tplc="A0820422" w:tentative="1">
      <w:start w:val="1"/>
      <w:numFmt w:val="bullet"/>
      <w:lvlText w:val=""/>
      <w:lvlJc w:val="left"/>
      <w:pPr>
        <w:tabs>
          <w:tab w:val="num" w:pos="2160"/>
        </w:tabs>
        <w:ind w:left="2160" w:hanging="360"/>
      </w:pPr>
      <w:rPr>
        <w:rFonts w:ascii="Wingdings 3" w:hAnsi="Wingdings 3" w:hint="default"/>
      </w:rPr>
    </w:lvl>
    <w:lvl w:ilvl="3" w:tplc="FE546868" w:tentative="1">
      <w:start w:val="1"/>
      <w:numFmt w:val="bullet"/>
      <w:lvlText w:val=""/>
      <w:lvlJc w:val="left"/>
      <w:pPr>
        <w:tabs>
          <w:tab w:val="num" w:pos="2880"/>
        </w:tabs>
        <w:ind w:left="2880" w:hanging="360"/>
      </w:pPr>
      <w:rPr>
        <w:rFonts w:ascii="Wingdings 3" w:hAnsi="Wingdings 3" w:hint="default"/>
      </w:rPr>
    </w:lvl>
    <w:lvl w:ilvl="4" w:tplc="F6104D7E" w:tentative="1">
      <w:start w:val="1"/>
      <w:numFmt w:val="bullet"/>
      <w:lvlText w:val=""/>
      <w:lvlJc w:val="left"/>
      <w:pPr>
        <w:tabs>
          <w:tab w:val="num" w:pos="3600"/>
        </w:tabs>
        <w:ind w:left="3600" w:hanging="360"/>
      </w:pPr>
      <w:rPr>
        <w:rFonts w:ascii="Wingdings 3" w:hAnsi="Wingdings 3" w:hint="default"/>
      </w:rPr>
    </w:lvl>
    <w:lvl w:ilvl="5" w:tplc="6910EB9E" w:tentative="1">
      <w:start w:val="1"/>
      <w:numFmt w:val="bullet"/>
      <w:lvlText w:val=""/>
      <w:lvlJc w:val="left"/>
      <w:pPr>
        <w:tabs>
          <w:tab w:val="num" w:pos="4320"/>
        </w:tabs>
        <w:ind w:left="4320" w:hanging="360"/>
      </w:pPr>
      <w:rPr>
        <w:rFonts w:ascii="Wingdings 3" w:hAnsi="Wingdings 3" w:hint="default"/>
      </w:rPr>
    </w:lvl>
    <w:lvl w:ilvl="6" w:tplc="98301422" w:tentative="1">
      <w:start w:val="1"/>
      <w:numFmt w:val="bullet"/>
      <w:lvlText w:val=""/>
      <w:lvlJc w:val="left"/>
      <w:pPr>
        <w:tabs>
          <w:tab w:val="num" w:pos="5040"/>
        </w:tabs>
        <w:ind w:left="5040" w:hanging="360"/>
      </w:pPr>
      <w:rPr>
        <w:rFonts w:ascii="Wingdings 3" w:hAnsi="Wingdings 3" w:hint="default"/>
      </w:rPr>
    </w:lvl>
    <w:lvl w:ilvl="7" w:tplc="BA9EF84E" w:tentative="1">
      <w:start w:val="1"/>
      <w:numFmt w:val="bullet"/>
      <w:lvlText w:val=""/>
      <w:lvlJc w:val="left"/>
      <w:pPr>
        <w:tabs>
          <w:tab w:val="num" w:pos="5760"/>
        </w:tabs>
        <w:ind w:left="5760" w:hanging="360"/>
      </w:pPr>
      <w:rPr>
        <w:rFonts w:ascii="Wingdings 3" w:hAnsi="Wingdings 3" w:hint="default"/>
      </w:rPr>
    </w:lvl>
    <w:lvl w:ilvl="8" w:tplc="811C853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22F3CC4"/>
    <w:multiLevelType w:val="hybridMultilevel"/>
    <w:tmpl w:val="FC94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70EE7"/>
    <w:multiLevelType w:val="hybridMultilevel"/>
    <w:tmpl w:val="C00AF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9D288B"/>
    <w:multiLevelType w:val="hybridMultilevel"/>
    <w:tmpl w:val="39A28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15:restartNumberingAfterBreak="0">
    <w:nsid w:val="55F85CED"/>
    <w:multiLevelType w:val="hybridMultilevel"/>
    <w:tmpl w:val="3D9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645157"/>
    <w:multiLevelType w:val="hybridMultilevel"/>
    <w:tmpl w:val="806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93E56"/>
    <w:multiLevelType w:val="hybridMultilevel"/>
    <w:tmpl w:val="6AB8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2C76C5"/>
    <w:multiLevelType w:val="hybridMultilevel"/>
    <w:tmpl w:val="ADD8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D80C55"/>
    <w:multiLevelType w:val="hybridMultilevel"/>
    <w:tmpl w:val="70A6E9B6"/>
    <w:lvl w:ilvl="0" w:tplc="6D3E82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0"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40"/>
  </w:num>
  <w:num w:numId="3">
    <w:abstractNumId w:val="29"/>
  </w:num>
  <w:num w:numId="4">
    <w:abstractNumId w:val="23"/>
  </w:num>
  <w:num w:numId="5">
    <w:abstractNumId w:val="3"/>
  </w:num>
  <w:num w:numId="6">
    <w:abstractNumId w:val="39"/>
  </w:num>
  <w:num w:numId="7">
    <w:abstractNumId w:val="24"/>
  </w:num>
  <w:num w:numId="8">
    <w:abstractNumId w:val="3"/>
  </w:num>
  <w:num w:numId="9">
    <w:abstractNumId w:val="6"/>
  </w:num>
  <w:num w:numId="10">
    <w:abstractNumId w:val="9"/>
  </w:num>
  <w:num w:numId="11">
    <w:abstractNumId w:val="3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31"/>
  </w:num>
  <w:num w:numId="17">
    <w:abstractNumId w:val="10"/>
  </w:num>
  <w:num w:numId="18">
    <w:abstractNumId w:val="32"/>
  </w:num>
  <w:num w:numId="19">
    <w:abstractNumId w:val="20"/>
  </w:num>
  <w:num w:numId="20">
    <w:abstractNumId w:val="22"/>
  </w:num>
  <w:num w:numId="21">
    <w:abstractNumId w:val="19"/>
  </w:num>
  <w:num w:numId="22">
    <w:abstractNumId w:val="35"/>
  </w:num>
  <w:num w:numId="23">
    <w:abstractNumId w:val="1"/>
  </w:num>
  <w:num w:numId="24">
    <w:abstractNumId w:val="3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num>
  <w:num w:numId="28">
    <w:abstractNumId w:val="11"/>
  </w:num>
  <w:num w:numId="29">
    <w:abstractNumId w:val="5"/>
  </w:num>
  <w:num w:numId="30">
    <w:abstractNumId w:val="0"/>
  </w:num>
  <w:num w:numId="31">
    <w:abstractNumId w:val="33"/>
  </w:num>
  <w:num w:numId="32">
    <w:abstractNumId w:val="33"/>
  </w:num>
  <w:num w:numId="33">
    <w:abstractNumId w:val="38"/>
  </w:num>
  <w:num w:numId="34">
    <w:abstractNumId w:val="2"/>
  </w:num>
  <w:num w:numId="35">
    <w:abstractNumId w:val="7"/>
  </w:num>
  <w:num w:numId="36">
    <w:abstractNumId w:val="18"/>
  </w:num>
  <w:num w:numId="37">
    <w:abstractNumId w:val="17"/>
  </w:num>
  <w:num w:numId="38">
    <w:abstractNumId w:val="28"/>
  </w:num>
  <w:num w:numId="39">
    <w:abstractNumId w:val="30"/>
  </w:num>
  <w:num w:numId="40">
    <w:abstractNumId w:val="8"/>
  </w:num>
  <w:num w:numId="41">
    <w:abstractNumId w:val="4"/>
  </w:num>
  <w:num w:numId="42">
    <w:abstractNumId w:val="13"/>
  </w:num>
  <w:num w:numId="43">
    <w:abstractNumId w:val="36"/>
  </w:num>
  <w:num w:numId="4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63772"/>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8D8"/>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477A"/>
    <w:rsid w:val="001D6A4F"/>
    <w:rsid w:val="001D77F5"/>
    <w:rsid w:val="001D7B1D"/>
    <w:rsid w:val="001D7EE5"/>
    <w:rsid w:val="001E0537"/>
    <w:rsid w:val="001E0C33"/>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28C3"/>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2900"/>
    <w:rsid w:val="00462904"/>
    <w:rsid w:val="00464405"/>
    <w:rsid w:val="00466D8F"/>
    <w:rsid w:val="0047229C"/>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49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702F"/>
    <w:rsid w:val="008E7B1D"/>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71691"/>
    <w:rsid w:val="00A71E0C"/>
    <w:rsid w:val="00A74399"/>
    <w:rsid w:val="00A744FF"/>
    <w:rsid w:val="00A76EA3"/>
    <w:rsid w:val="00A81BCC"/>
    <w:rsid w:val="00A8608B"/>
    <w:rsid w:val="00A9216C"/>
    <w:rsid w:val="00A93175"/>
    <w:rsid w:val="00A93DDD"/>
    <w:rsid w:val="00A941E4"/>
    <w:rsid w:val="00A95C18"/>
    <w:rsid w:val="00AA00C2"/>
    <w:rsid w:val="00AA11A3"/>
    <w:rsid w:val="00AA1814"/>
    <w:rsid w:val="00AA190C"/>
    <w:rsid w:val="00AA2A52"/>
    <w:rsid w:val="00AA4EEA"/>
    <w:rsid w:val="00AB0CC8"/>
    <w:rsid w:val="00AB1045"/>
    <w:rsid w:val="00AB3B47"/>
    <w:rsid w:val="00AB4B29"/>
    <w:rsid w:val="00AC573C"/>
    <w:rsid w:val="00AC59E3"/>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1E4D"/>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457C"/>
    <w:rsid w:val="00BA5DF9"/>
    <w:rsid w:val="00BA5EF2"/>
    <w:rsid w:val="00BA678D"/>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BF6698"/>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4CEC"/>
    <w:rsid w:val="00DD7BCD"/>
    <w:rsid w:val="00DD7D86"/>
    <w:rsid w:val="00DE18E7"/>
    <w:rsid w:val="00DE1AC4"/>
    <w:rsid w:val="00DE5DEF"/>
    <w:rsid w:val="00DE7050"/>
    <w:rsid w:val="00DF1F28"/>
    <w:rsid w:val="00E0015E"/>
    <w:rsid w:val="00E0563F"/>
    <w:rsid w:val="00E069B7"/>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3BC"/>
    <w:rsid w:val="00EA64FC"/>
    <w:rsid w:val="00EA6A26"/>
    <w:rsid w:val="00EA74C8"/>
    <w:rsid w:val="00EB0CFE"/>
    <w:rsid w:val="00EB2023"/>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57F4"/>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BD40FF2C-4A11-40C6-9CD2-223059F302DE}">
  <ds:schemaRefs>
    <ds:schemaRef ds:uri="http://schemas.openxmlformats.org/officeDocument/2006/bibliography"/>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10</cp:revision>
  <dcterms:created xsi:type="dcterms:W3CDTF">2023-01-19T18:27:00Z</dcterms:created>
  <dcterms:modified xsi:type="dcterms:W3CDTF">2023-01-24T22:34:00Z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