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6E" w:rsidRPr="00E22AA3" w:rsidRDefault="0097156E" w:rsidP="0097156E">
      <w:pPr>
        <w:rPr>
          <w:rFonts w:asciiTheme="minorHAnsi" w:hAnsiTheme="minorHAnsi" w:cs="Arial"/>
          <w:color w:val="FFFFFF" w:themeColor="background1"/>
        </w:rPr>
      </w:pPr>
      <w:r w:rsidRPr="00E22AA3">
        <w:rPr>
          <w:rFonts w:asciiTheme="minorHAnsi" w:hAnsiTheme="minorHAnsi" w:cs="Arial"/>
          <w:color w:val="FFFFFF" w:themeColor="background1"/>
        </w:rPr>
        <w:t>C</w:t>
      </w:r>
    </w:p>
    <w:tbl>
      <w:tblPr>
        <w:tblStyle w:val="TableGrid"/>
        <w:tblW w:w="0" w:type="auto"/>
        <w:tblInd w:w="85" w:type="dxa"/>
        <w:tblLook w:val="04A0" w:firstRow="1" w:lastRow="0" w:firstColumn="1" w:lastColumn="0" w:noHBand="0" w:noVBand="1"/>
      </w:tblPr>
      <w:tblGrid>
        <w:gridCol w:w="9265"/>
      </w:tblGrid>
      <w:tr w:rsidR="0097156E" w:rsidRPr="00E22AA3" w:rsidTr="005C4F85">
        <w:tc>
          <w:tcPr>
            <w:tcW w:w="9265" w:type="dxa"/>
            <w:shd w:val="clear" w:color="auto" w:fill="9CC2E5" w:themeFill="accent1" w:themeFillTint="99"/>
          </w:tcPr>
          <w:p w:rsidR="0097156E" w:rsidRPr="00E22AA3" w:rsidRDefault="0097156E" w:rsidP="0097156E">
            <w:pPr>
              <w:jc w:val="center"/>
              <w:rPr>
                <w:rFonts w:asciiTheme="minorHAnsi" w:hAnsiTheme="minorHAnsi" w:cs="Arial"/>
                <w:color w:val="000000"/>
              </w:rPr>
            </w:pPr>
            <w:r w:rsidRPr="00E22AA3">
              <w:rPr>
                <w:rFonts w:asciiTheme="minorHAnsi" w:hAnsiTheme="minorHAnsi" w:cs="Arial"/>
                <w:color w:val="FFFFFF" w:themeColor="background1"/>
              </w:rPr>
              <w:t xml:space="preserve">CHILDCARE DHS CALL CENTER QUESTIONS       </w:t>
            </w:r>
            <w:r>
              <w:rPr>
                <w:rFonts w:asciiTheme="minorHAnsi" w:hAnsiTheme="minorHAnsi" w:cs="Arial"/>
                <w:color w:val="FFFFFF" w:themeColor="background1"/>
              </w:rPr>
              <w:t xml:space="preserve">                                  </w:t>
            </w:r>
            <w:r w:rsidRPr="00E22AA3">
              <w:rPr>
                <w:rFonts w:asciiTheme="minorHAnsi" w:hAnsiTheme="minorHAnsi" w:cs="Arial"/>
                <w:color w:val="FFFFFF" w:themeColor="background1"/>
              </w:rPr>
              <w:t xml:space="preserve">                                       </w:t>
            </w:r>
            <w:r>
              <w:rPr>
                <w:rFonts w:asciiTheme="minorHAnsi" w:hAnsiTheme="minorHAnsi" w:cs="Arial"/>
                <w:color w:val="FFFFFF" w:themeColor="background1"/>
              </w:rPr>
              <w:t>January</w:t>
            </w:r>
            <w:r w:rsidRPr="00E22AA3">
              <w:rPr>
                <w:rFonts w:asciiTheme="minorHAnsi" w:hAnsiTheme="minorHAnsi" w:cs="Arial"/>
                <w:color w:val="FFFFFF" w:themeColor="background1"/>
              </w:rPr>
              <w:t xml:space="preserve"> 2018                                                        </w:t>
            </w:r>
          </w:p>
        </w:tc>
      </w:tr>
    </w:tbl>
    <w:p w:rsidR="0097156E" w:rsidRPr="00E22AA3" w:rsidRDefault="0097156E" w:rsidP="0097156E">
      <w:pPr>
        <w:rPr>
          <w:rFonts w:asciiTheme="minorHAnsi" w:hAnsiTheme="minorHAnsi" w:cs="Arial"/>
          <w:color w:val="000000"/>
        </w:rPr>
      </w:pPr>
      <w:r w:rsidRPr="00E22AA3">
        <w:rPr>
          <w:rFonts w:asciiTheme="minorHAnsi" w:hAnsiTheme="minorHAnsi" w:cs="Arial"/>
          <w:color w:val="FFFFFF" w:themeColor="background1"/>
        </w:rPr>
        <w:t xml:space="preserve">HILDCARE DHS CALL CENTER QUESTIONS       </w:t>
      </w:r>
      <w:r>
        <w:rPr>
          <w:rFonts w:asciiTheme="minorHAnsi" w:hAnsiTheme="minorHAnsi" w:cs="Arial"/>
          <w:color w:val="FFFFFF" w:themeColor="background1"/>
        </w:rPr>
        <w:t xml:space="preserve">                                  </w:t>
      </w:r>
      <w:r w:rsidRPr="00E22AA3">
        <w:rPr>
          <w:rFonts w:asciiTheme="minorHAnsi" w:hAnsiTheme="minorHAnsi" w:cs="Arial"/>
          <w:color w:val="FFFFFF" w:themeColor="background1"/>
        </w:rPr>
        <w:t xml:space="preserve">                                       February 2018                                                        </w:t>
      </w:r>
    </w:p>
    <w:p w:rsidR="0097156E" w:rsidRDefault="0097156E"/>
    <w:p w:rsidR="00890263" w:rsidRPr="00890263" w:rsidRDefault="00890263" w:rsidP="00890263">
      <w:pPr>
        <w:rPr>
          <w:rFonts w:ascii="Arial" w:hAnsi="Arial" w:cs="Arial"/>
        </w:rPr>
      </w:pPr>
      <w:r w:rsidRPr="00890263">
        <w:rPr>
          <w:rFonts w:ascii="Arial" w:hAnsi="Arial" w:cs="Arial"/>
          <w:b/>
        </w:rPr>
        <w:t>Scenario:</w:t>
      </w:r>
      <w:r w:rsidRPr="00890263">
        <w:rPr>
          <w:rFonts w:ascii="Arial" w:hAnsi="Arial" w:cs="Arial"/>
        </w:rPr>
        <w:t xml:space="preserve">    Client called and reported employment loss as of 12/29/17.  I was unable to put her Childcare into the 3 month approved activity search due to the case being in renewal/review mode from a current </w:t>
      </w:r>
      <w:proofErr w:type="spellStart"/>
      <w:r w:rsidRPr="00890263">
        <w:rPr>
          <w:rFonts w:ascii="Arial" w:hAnsi="Arial" w:cs="Arial"/>
        </w:rPr>
        <w:t>FoodShare</w:t>
      </w:r>
      <w:proofErr w:type="spellEnd"/>
      <w:r w:rsidRPr="00890263">
        <w:rPr>
          <w:rFonts w:ascii="Arial" w:hAnsi="Arial" w:cs="Arial"/>
        </w:rPr>
        <w:t xml:space="preserve"> renewal that is pending for final wage verification. </w:t>
      </w:r>
    </w:p>
    <w:p w:rsidR="00890263" w:rsidRPr="00890263" w:rsidRDefault="00890263" w:rsidP="00890263">
      <w:pPr>
        <w:rPr>
          <w:rFonts w:ascii="Arial" w:hAnsi="Arial" w:cs="Arial"/>
        </w:rPr>
      </w:pPr>
    </w:p>
    <w:p w:rsidR="00890263" w:rsidRPr="00890263" w:rsidRDefault="00890263" w:rsidP="00890263">
      <w:pPr>
        <w:rPr>
          <w:rFonts w:ascii="Arial" w:hAnsi="Arial" w:cs="Arial"/>
        </w:rPr>
      </w:pPr>
      <w:r w:rsidRPr="00890263">
        <w:rPr>
          <w:rFonts w:ascii="Arial" w:hAnsi="Arial" w:cs="Arial"/>
        </w:rPr>
        <w:t xml:space="preserve">She was previously approved for CC for W2 and an </w:t>
      </w:r>
      <w:proofErr w:type="spellStart"/>
      <w:r w:rsidRPr="00890263">
        <w:rPr>
          <w:rFonts w:ascii="Arial" w:hAnsi="Arial" w:cs="Arial"/>
        </w:rPr>
        <w:t>auth</w:t>
      </w:r>
      <w:proofErr w:type="spellEnd"/>
      <w:r w:rsidRPr="00890263">
        <w:rPr>
          <w:rFonts w:ascii="Arial" w:hAnsi="Arial" w:cs="Arial"/>
        </w:rPr>
        <w:t xml:space="preserve"> was built from 10/26/17-12/16/17 for her W2 EP.   She did not have a current </w:t>
      </w:r>
      <w:proofErr w:type="spellStart"/>
      <w:r w:rsidRPr="00890263">
        <w:rPr>
          <w:rFonts w:ascii="Arial" w:hAnsi="Arial" w:cs="Arial"/>
        </w:rPr>
        <w:t>auth</w:t>
      </w:r>
      <w:proofErr w:type="spellEnd"/>
      <w:r w:rsidRPr="00890263">
        <w:rPr>
          <w:rFonts w:ascii="Arial" w:hAnsi="Arial" w:cs="Arial"/>
        </w:rPr>
        <w:t xml:space="preserve"> in place at the time employment was reported to have ended.  She is requesting continued CC and requesting the 3 month approved activity search.  </w:t>
      </w:r>
    </w:p>
    <w:p w:rsidR="00890263" w:rsidRPr="00890263" w:rsidRDefault="00890263" w:rsidP="00890263">
      <w:pPr>
        <w:rPr>
          <w:rFonts w:ascii="Arial" w:hAnsi="Arial" w:cs="Arial"/>
        </w:rPr>
      </w:pPr>
    </w:p>
    <w:p w:rsidR="00890263" w:rsidRPr="00890263" w:rsidRDefault="00890263" w:rsidP="00890263">
      <w:pPr>
        <w:rPr>
          <w:rFonts w:ascii="Arial" w:hAnsi="Arial" w:cs="Arial"/>
        </w:rPr>
      </w:pPr>
      <w:r w:rsidRPr="00890263">
        <w:rPr>
          <w:rFonts w:ascii="Arial" w:hAnsi="Arial" w:cs="Arial"/>
        </w:rPr>
        <w:t xml:space="preserve">Do we continue what her </w:t>
      </w:r>
      <w:proofErr w:type="spellStart"/>
      <w:r w:rsidRPr="00890263">
        <w:rPr>
          <w:rFonts w:ascii="Arial" w:hAnsi="Arial" w:cs="Arial"/>
        </w:rPr>
        <w:t>auth</w:t>
      </w:r>
      <w:proofErr w:type="spellEnd"/>
      <w:r w:rsidRPr="00890263">
        <w:rPr>
          <w:rFonts w:ascii="Arial" w:hAnsi="Arial" w:cs="Arial"/>
        </w:rPr>
        <w:t xml:space="preserve"> was during her W2 EP once we are able to put her CC into the 3 month approved activity search </w:t>
      </w:r>
      <w:r w:rsidRPr="00890263">
        <w:rPr>
          <w:rFonts w:ascii="Arial" w:hAnsi="Arial" w:cs="Arial"/>
          <w:b/>
          <w:bCs/>
          <w:u w:val="single"/>
        </w:rPr>
        <w:t>or</w:t>
      </w:r>
      <w:r w:rsidRPr="00890263">
        <w:rPr>
          <w:rFonts w:ascii="Arial" w:hAnsi="Arial" w:cs="Arial"/>
        </w:rPr>
        <w:t xml:space="preserve"> do we built a new </w:t>
      </w:r>
      <w:proofErr w:type="spellStart"/>
      <w:r w:rsidRPr="00890263">
        <w:rPr>
          <w:rFonts w:ascii="Arial" w:hAnsi="Arial" w:cs="Arial"/>
        </w:rPr>
        <w:t>auth</w:t>
      </w:r>
      <w:proofErr w:type="spellEnd"/>
      <w:r w:rsidRPr="00890263">
        <w:rPr>
          <w:rFonts w:ascii="Arial" w:hAnsi="Arial" w:cs="Arial"/>
        </w:rPr>
        <w:t xml:space="preserve"> from 12/17/17 through March 2018 at what she would have needed during her employment, that has now ended? </w:t>
      </w:r>
    </w:p>
    <w:p w:rsidR="00890263" w:rsidRPr="00890263" w:rsidRDefault="00890263" w:rsidP="00890263">
      <w:pPr>
        <w:tabs>
          <w:tab w:val="left" w:pos="6330"/>
        </w:tabs>
        <w:rPr>
          <w:rFonts w:ascii="Arial" w:hAnsi="Arial" w:cs="Arial"/>
        </w:rPr>
      </w:pPr>
      <w:r w:rsidRPr="00890263">
        <w:rPr>
          <w:rFonts w:ascii="Arial" w:hAnsi="Arial" w:cs="Arial"/>
        </w:rPr>
        <w:tab/>
      </w:r>
    </w:p>
    <w:p w:rsidR="00890263" w:rsidRPr="00890263" w:rsidRDefault="00890263" w:rsidP="00890263">
      <w:pPr>
        <w:rPr>
          <w:rFonts w:ascii="Arial" w:hAnsi="Arial" w:cs="Arial"/>
          <w:b/>
          <w:bCs/>
          <w:color w:val="000000" w:themeColor="text1"/>
        </w:rPr>
      </w:pPr>
      <w:r w:rsidRPr="00890263">
        <w:rPr>
          <w:rFonts w:ascii="Arial" w:hAnsi="Arial" w:cs="Arial"/>
          <w:b/>
          <w:color w:val="000000" w:themeColor="text1"/>
        </w:rPr>
        <w:t>Call Center response</w:t>
      </w:r>
      <w:r w:rsidRPr="00890263">
        <w:rPr>
          <w:rFonts w:ascii="Arial" w:hAnsi="Arial" w:cs="Arial"/>
          <w:color w:val="000000" w:themeColor="text1"/>
        </w:rPr>
        <w:t xml:space="preserve">:  The worker should enter a parent schedule with a begin date of 12/17/16, and an end date of 3/31/18. The parent schedule should reflect the parent’s schedule while she was employed (her employment, plus any W-2 activities). Collect and enter what the CC Need would have been for that time, if the parent had requested an auth. Create the CC authorization for the appropriate begin date (see </w:t>
      </w:r>
      <w:hyperlink r:id="rId6" w:history="1">
        <w:r w:rsidRPr="00890263">
          <w:rPr>
            <w:rStyle w:val="Hyperlink"/>
            <w:rFonts w:ascii="Arial" w:hAnsi="Arial" w:cs="Arial"/>
            <w:color w:val="000000" w:themeColor="text1"/>
          </w:rPr>
          <w:t>WI Shares Policy Manual</w:t>
        </w:r>
      </w:hyperlink>
      <w:r w:rsidRPr="00890263">
        <w:rPr>
          <w:rFonts w:ascii="Arial" w:hAnsi="Arial" w:cs="Arial"/>
          <w:color w:val="000000" w:themeColor="text1"/>
        </w:rPr>
        <w:t xml:space="preserve"> 2.2.4 Authorizations for Ongoing Eligibility); remember that the begin date cannot be prior to 1/1/18. The </w:t>
      </w:r>
      <w:proofErr w:type="spellStart"/>
      <w:r w:rsidRPr="00890263">
        <w:rPr>
          <w:rFonts w:ascii="Arial" w:hAnsi="Arial" w:cs="Arial"/>
          <w:color w:val="000000" w:themeColor="text1"/>
        </w:rPr>
        <w:t>auth</w:t>
      </w:r>
      <w:proofErr w:type="spellEnd"/>
      <w:r w:rsidRPr="00890263">
        <w:rPr>
          <w:rFonts w:ascii="Arial" w:hAnsi="Arial" w:cs="Arial"/>
          <w:color w:val="000000" w:themeColor="text1"/>
        </w:rPr>
        <w:t xml:space="preserve"> end date should be 3/31/18.</w:t>
      </w:r>
    </w:p>
    <w:p w:rsidR="00890263" w:rsidRPr="00890263" w:rsidRDefault="00890263" w:rsidP="00890263">
      <w:pPr>
        <w:rPr>
          <w:rFonts w:ascii="Arial" w:hAnsi="Arial" w:cs="Arial"/>
          <w:color w:val="000000" w:themeColor="text1"/>
        </w:rPr>
      </w:pPr>
    </w:p>
    <w:p w:rsidR="00890263" w:rsidRPr="00890263" w:rsidRDefault="00890263" w:rsidP="00890263">
      <w:pPr>
        <w:rPr>
          <w:color w:val="000000" w:themeColor="text1"/>
        </w:rPr>
      </w:pPr>
      <w:r w:rsidRPr="00890263">
        <w:rPr>
          <w:rFonts w:ascii="Arial" w:hAnsi="Arial" w:cs="Arial"/>
          <w:color w:val="000000" w:themeColor="text1"/>
        </w:rPr>
        <w:t xml:space="preserve">Once the case enters </w:t>
      </w:r>
      <w:proofErr w:type="gramStart"/>
      <w:r w:rsidRPr="00890263">
        <w:rPr>
          <w:rFonts w:ascii="Arial" w:hAnsi="Arial" w:cs="Arial"/>
          <w:color w:val="000000" w:themeColor="text1"/>
        </w:rPr>
        <w:t>Ongoing</w:t>
      </w:r>
      <w:proofErr w:type="gramEnd"/>
      <w:r w:rsidRPr="00890263">
        <w:rPr>
          <w:rFonts w:ascii="Arial" w:hAnsi="Arial" w:cs="Arial"/>
          <w:color w:val="000000" w:themeColor="text1"/>
        </w:rPr>
        <w:t xml:space="preserve"> status again, the worker should enter the CC Activity Type of ACTS starting 1/2018, and run eligibility</w:t>
      </w:r>
      <w:r w:rsidRPr="00890263">
        <w:rPr>
          <w:color w:val="000000" w:themeColor="text1"/>
        </w:rPr>
        <w:t>.</w:t>
      </w:r>
    </w:p>
    <w:p w:rsidR="00890263" w:rsidRDefault="00890263" w:rsidP="00890263">
      <w:pPr>
        <w:tabs>
          <w:tab w:val="left" w:pos="6330"/>
        </w:tabs>
      </w:pPr>
    </w:p>
    <w:p w:rsidR="00DA50D5" w:rsidRPr="00DA50D5" w:rsidRDefault="00DA50D5" w:rsidP="00DA50D5">
      <w:pPr>
        <w:rPr>
          <w:rFonts w:ascii="Arial" w:hAnsi="Arial" w:cs="Arial"/>
          <w:color w:val="000000"/>
        </w:rPr>
      </w:pPr>
      <w:r w:rsidRPr="00DA50D5">
        <w:rPr>
          <w:rFonts w:ascii="Arial" w:hAnsi="Arial" w:cs="Arial"/>
          <w:b/>
        </w:rPr>
        <w:t xml:space="preserve">Scenario:  </w:t>
      </w:r>
      <w:r w:rsidRPr="00DA50D5">
        <w:rPr>
          <w:rFonts w:ascii="Arial" w:hAnsi="Arial" w:cs="Arial"/>
          <w:color w:val="000000"/>
        </w:rPr>
        <w:t xml:space="preserve">The paystubs for the husband do NOT include </w:t>
      </w:r>
      <w:r w:rsidRPr="00DA50D5">
        <w:rPr>
          <w:rFonts w:ascii="Arial" w:hAnsi="Arial" w:cs="Arial"/>
          <w:b/>
          <w:bCs/>
          <w:color w:val="000000"/>
        </w:rPr>
        <w:t>hours worked</w:t>
      </w:r>
      <w:r w:rsidRPr="00DA50D5">
        <w:rPr>
          <w:rFonts w:ascii="Arial" w:hAnsi="Arial" w:cs="Arial"/>
          <w:color w:val="000000"/>
        </w:rPr>
        <w:t xml:space="preserve">.  He is paid on a salary basis.  </w:t>
      </w:r>
    </w:p>
    <w:p w:rsidR="00DA50D5" w:rsidRPr="00DA50D5" w:rsidRDefault="00DA50D5" w:rsidP="00DA50D5">
      <w:pPr>
        <w:rPr>
          <w:rFonts w:ascii="Arial" w:hAnsi="Arial" w:cs="Arial"/>
          <w:color w:val="000000"/>
        </w:rPr>
      </w:pPr>
      <w:r w:rsidRPr="00DA50D5">
        <w:rPr>
          <w:rFonts w:ascii="Arial" w:hAnsi="Arial" w:cs="Arial"/>
          <w:color w:val="000000"/>
        </w:rPr>
        <w:t xml:space="preserve">1.6.12 Financial Eligibility Verification requires “employer and employee name, rate of pay, and </w:t>
      </w:r>
      <w:r w:rsidRPr="00DA50D5">
        <w:rPr>
          <w:rFonts w:ascii="Arial" w:hAnsi="Arial" w:cs="Arial"/>
          <w:b/>
          <w:bCs/>
          <w:color w:val="000000"/>
        </w:rPr>
        <w:t>hours worked</w:t>
      </w:r>
      <w:r w:rsidRPr="00DA50D5">
        <w:rPr>
          <w:rFonts w:ascii="Arial" w:hAnsi="Arial" w:cs="Arial"/>
          <w:color w:val="000000"/>
        </w:rPr>
        <w:t>.”</w:t>
      </w:r>
    </w:p>
    <w:p w:rsidR="00DA50D5" w:rsidRPr="00DA50D5" w:rsidRDefault="00DA50D5" w:rsidP="00DA50D5">
      <w:pPr>
        <w:rPr>
          <w:rFonts w:ascii="Arial" w:hAnsi="Arial" w:cs="Arial"/>
          <w:color w:val="000000"/>
        </w:rPr>
      </w:pPr>
    </w:p>
    <w:p w:rsidR="00DA50D5" w:rsidRPr="00DA50D5" w:rsidRDefault="00DA50D5" w:rsidP="00DA50D5">
      <w:pPr>
        <w:rPr>
          <w:rFonts w:ascii="Arial" w:hAnsi="Arial" w:cs="Arial"/>
          <w:color w:val="000000"/>
        </w:rPr>
      </w:pPr>
      <w:r w:rsidRPr="00DA50D5">
        <w:rPr>
          <w:rFonts w:ascii="Arial" w:hAnsi="Arial" w:cs="Arial"/>
          <w:color w:val="000000"/>
        </w:rPr>
        <w:t xml:space="preserve">Since Ops Memo 17-29 </w:t>
      </w:r>
      <w:r w:rsidRPr="00DA50D5">
        <w:rPr>
          <w:rFonts w:ascii="Arial" w:hAnsi="Arial" w:cs="Arial"/>
          <w:color w:val="000000"/>
          <w:u w:val="single"/>
        </w:rPr>
        <w:t>pertains to newly employed parents</w:t>
      </w:r>
      <w:r w:rsidRPr="00DA50D5">
        <w:rPr>
          <w:rFonts w:ascii="Arial" w:hAnsi="Arial" w:cs="Arial"/>
          <w:color w:val="000000"/>
        </w:rPr>
        <w:t>, the documentation in CWW case comments does seem to be allowed.</w:t>
      </w:r>
    </w:p>
    <w:p w:rsidR="00DA50D5" w:rsidRPr="00DA50D5" w:rsidRDefault="00DA50D5" w:rsidP="00DA50D5">
      <w:pPr>
        <w:rPr>
          <w:rFonts w:ascii="Arial" w:hAnsi="Arial" w:cs="Arial"/>
          <w:color w:val="000000"/>
        </w:rPr>
      </w:pPr>
    </w:p>
    <w:p w:rsidR="00DA50D5" w:rsidRPr="00DA50D5" w:rsidRDefault="00DA50D5" w:rsidP="00DA50D5">
      <w:pPr>
        <w:rPr>
          <w:rFonts w:ascii="Arial" w:hAnsi="Arial" w:cs="Arial"/>
          <w:color w:val="000000"/>
        </w:rPr>
      </w:pPr>
      <w:r w:rsidRPr="00DA50D5">
        <w:rPr>
          <w:rFonts w:ascii="Arial" w:hAnsi="Arial" w:cs="Arial"/>
          <w:color w:val="000000"/>
        </w:rPr>
        <w:t>Rock County is unable to use a collateral contact as a means for verifying HOURS, as Walmart/Sam’s uses the “Work Number”</w:t>
      </w:r>
    </w:p>
    <w:p w:rsidR="00DA50D5" w:rsidRPr="00DA50D5" w:rsidRDefault="00DA50D5" w:rsidP="00DA50D5">
      <w:pPr>
        <w:rPr>
          <w:rFonts w:ascii="Arial" w:hAnsi="Arial" w:cs="Arial"/>
          <w:color w:val="000000"/>
        </w:rPr>
      </w:pPr>
    </w:p>
    <w:p w:rsidR="00DA50D5" w:rsidRPr="00DA50D5" w:rsidRDefault="00DA50D5" w:rsidP="00DA50D5">
      <w:pPr>
        <w:rPr>
          <w:rFonts w:ascii="Arial" w:hAnsi="Arial" w:cs="Arial"/>
          <w:color w:val="000000"/>
        </w:rPr>
      </w:pPr>
      <w:r w:rsidRPr="00DA50D5">
        <w:rPr>
          <w:rFonts w:ascii="Arial" w:hAnsi="Arial" w:cs="Arial"/>
          <w:color w:val="000000"/>
        </w:rPr>
        <w:t>The schedule provided by the parent is not being questioned by the agency.  Please advise how Rock County should verify hours worked for parent paid on a salaried basis?</w:t>
      </w:r>
    </w:p>
    <w:p w:rsidR="00DA50D5" w:rsidRPr="00DA50D5" w:rsidRDefault="00DA50D5" w:rsidP="00890263">
      <w:pPr>
        <w:tabs>
          <w:tab w:val="left" w:pos="6330"/>
        </w:tabs>
        <w:rPr>
          <w:rFonts w:ascii="Arial" w:hAnsi="Arial" w:cs="Arial"/>
          <w:b/>
        </w:rPr>
      </w:pPr>
    </w:p>
    <w:p w:rsidR="00DA50D5" w:rsidRPr="00DA50D5" w:rsidRDefault="00DA50D5" w:rsidP="00DA50D5">
      <w:pPr>
        <w:rPr>
          <w:rFonts w:ascii="Arial" w:hAnsi="Arial" w:cs="Arial"/>
          <w:color w:val="000000" w:themeColor="text1"/>
        </w:rPr>
      </w:pPr>
      <w:r w:rsidRPr="00DA50D5">
        <w:rPr>
          <w:rFonts w:ascii="Arial" w:hAnsi="Arial" w:cs="Arial"/>
          <w:b/>
          <w:color w:val="000000" w:themeColor="text1"/>
        </w:rPr>
        <w:t xml:space="preserve">Call Center Response: </w:t>
      </w:r>
      <w:r w:rsidRPr="00DA50D5">
        <w:rPr>
          <w:rFonts w:ascii="Arial" w:hAnsi="Arial" w:cs="Arial"/>
          <w:color w:val="000000" w:themeColor="text1"/>
        </w:rPr>
        <w:t>For this case, since the paystubs showing the amount received and how often it is received scanned into ECF, and the parent’s schedule is documented on the Employment page in CWW and not questionable, it’s fine to not have the hours worked for a salaried employee.</w:t>
      </w:r>
    </w:p>
    <w:p w:rsidR="00DA50D5" w:rsidRDefault="00DA50D5" w:rsidP="00890263">
      <w:pPr>
        <w:tabs>
          <w:tab w:val="left" w:pos="6330"/>
        </w:tabs>
        <w:rPr>
          <w:rFonts w:ascii="Arial" w:hAnsi="Arial" w:cs="Arial"/>
          <w:b/>
        </w:rPr>
      </w:pPr>
    </w:p>
    <w:p w:rsidR="00BF1523" w:rsidRPr="00BF1523" w:rsidRDefault="00C34EB0" w:rsidP="00BF1523">
      <w:pPr>
        <w:rPr>
          <w:rFonts w:ascii="Arial" w:hAnsi="Arial" w:cs="Arial"/>
          <w:b/>
          <w:color w:val="000000"/>
        </w:rPr>
      </w:pPr>
      <w:r>
        <w:rPr>
          <w:rFonts w:ascii="Arial" w:hAnsi="Arial" w:cs="Arial"/>
          <w:b/>
          <w:color w:val="000000"/>
        </w:rPr>
        <w:t>**</w:t>
      </w:r>
      <w:r w:rsidR="00BF1523">
        <w:rPr>
          <w:rFonts w:ascii="Arial" w:hAnsi="Arial" w:cs="Arial"/>
          <w:b/>
          <w:color w:val="000000"/>
        </w:rPr>
        <w:t>T</w:t>
      </w:r>
      <w:r w:rsidR="00BF1523" w:rsidRPr="00BF1523">
        <w:rPr>
          <w:rFonts w:ascii="Arial" w:hAnsi="Arial" w:cs="Arial"/>
          <w:b/>
          <w:color w:val="000000"/>
        </w:rPr>
        <w:t xml:space="preserve">hese types of cases take extra documentation </w:t>
      </w:r>
      <w:r w:rsidR="00BF1523">
        <w:rPr>
          <w:rFonts w:ascii="Arial" w:hAnsi="Arial" w:cs="Arial"/>
          <w:b/>
          <w:color w:val="000000"/>
        </w:rPr>
        <w:t>in case comments that the hours worked and schedule has been provided</w:t>
      </w:r>
      <w:r>
        <w:rPr>
          <w:rFonts w:ascii="Arial" w:hAnsi="Arial" w:cs="Arial"/>
          <w:b/>
          <w:color w:val="000000"/>
        </w:rPr>
        <w:t xml:space="preserve"> ***</w:t>
      </w:r>
    </w:p>
    <w:p w:rsidR="004D6BB4" w:rsidRDefault="004D6BB4" w:rsidP="00890263">
      <w:pPr>
        <w:tabs>
          <w:tab w:val="left" w:pos="6330"/>
        </w:tabs>
        <w:rPr>
          <w:rFonts w:ascii="Arial" w:hAnsi="Arial" w:cs="Arial"/>
          <w:b/>
        </w:rPr>
      </w:pPr>
    </w:p>
    <w:p w:rsidR="004D6BB4" w:rsidRDefault="004D6BB4" w:rsidP="00890263">
      <w:pPr>
        <w:tabs>
          <w:tab w:val="left" w:pos="6330"/>
        </w:tabs>
        <w:rPr>
          <w:rFonts w:ascii="Arial" w:hAnsi="Arial" w:cs="Arial"/>
          <w:b/>
        </w:rPr>
      </w:pPr>
    </w:p>
    <w:p w:rsidR="004D6BB4" w:rsidRDefault="004D6BB4" w:rsidP="00890263">
      <w:pPr>
        <w:tabs>
          <w:tab w:val="left" w:pos="6330"/>
        </w:tabs>
        <w:rPr>
          <w:rFonts w:ascii="Arial" w:hAnsi="Arial" w:cs="Arial"/>
          <w:b/>
        </w:rPr>
      </w:pPr>
    </w:p>
    <w:p w:rsidR="004D6BB4" w:rsidRDefault="004D6BB4" w:rsidP="00890263">
      <w:pPr>
        <w:tabs>
          <w:tab w:val="left" w:pos="6330"/>
        </w:tabs>
        <w:rPr>
          <w:rFonts w:ascii="Arial" w:hAnsi="Arial" w:cs="Arial"/>
          <w:b/>
        </w:rPr>
      </w:pPr>
    </w:p>
    <w:p w:rsidR="004D6BB4" w:rsidRDefault="004D6BB4" w:rsidP="00890263">
      <w:pPr>
        <w:tabs>
          <w:tab w:val="left" w:pos="6330"/>
        </w:tabs>
        <w:rPr>
          <w:rFonts w:ascii="Arial" w:hAnsi="Arial" w:cs="Arial"/>
          <w:b/>
        </w:rPr>
      </w:pPr>
    </w:p>
    <w:p w:rsidR="004D6BB4" w:rsidRDefault="004D6BB4" w:rsidP="00890263">
      <w:pPr>
        <w:tabs>
          <w:tab w:val="left" w:pos="6330"/>
        </w:tabs>
        <w:rPr>
          <w:rFonts w:ascii="Arial" w:hAnsi="Arial" w:cs="Arial"/>
          <w:b/>
        </w:rPr>
      </w:pPr>
    </w:p>
    <w:p w:rsidR="004D6BB4" w:rsidRDefault="004D6BB4" w:rsidP="00890263">
      <w:pPr>
        <w:tabs>
          <w:tab w:val="left" w:pos="6330"/>
        </w:tabs>
        <w:rPr>
          <w:rFonts w:ascii="Arial" w:hAnsi="Arial" w:cs="Arial"/>
          <w:b/>
        </w:rPr>
      </w:pPr>
    </w:p>
    <w:p w:rsidR="004D6BB4" w:rsidRPr="004D6BB4" w:rsidRDefault="004D6BB4" w:rsidP="00890263">
      <w:pPr>
        <w:tabs>
          <w:tab w:val="left" w:pos="6330"/>
        </w:tabs>
        <w:rPr>
          <w:rFonts w:ascii="Arial" w:hAnsi="Arial" w:cs="Arial"/>
        </w:rPr>
      </w:pPr>
      <w:r>
        <w:rPr>
          <w:rFonts w:ascii="Arial" w:hAnsi="Arial" w:cs="Arial"/>
          <w:b/>
        </w:rPr>
        <w:t xml:space="preserve">Scenario:  </w:t>
      </w:r>
      <w:r w:rsidRPr="004D6BB4">
        <w:rPr>
          <w:rFonts w:ascii="Arial" w:hAnsi="Arial" w:cs="Arial"/>
        </w:rPr>
        <w:t>Client requests additional time to provide verification documents for a CC RFA</w:t>
      </w:r>
    </w:p>
    <w:p w:rsidR="004D6BB4" w:rsidRDefault="004D6BB4" w:rsidP="00890263">
      <w:pPr>
        <w:tabs>
          <w:tab w:val="left" w:pos="6330"/>
        </w:tabs>
        <w:rPr>
          <w:rFonts w:ascii="Arial" w:hAnsi="Arial" w:cs="Arial"/>
          <w:b/>
        </w:rPr>
      </w:pPr>
    </w:p>
    <w:p w:rsidR="004D6BB4" w:rsidRPr="004D6BB4" w:rsidRDefault="004D6BB4" w:rsidP="00890263">
      <w:pPr>
        <w:tabs>
          <w:tab w:val="left" w:pos="6330"/>
        </w:tabs>
        <w:rPr>
          <w:color w:val="000000" w:themeColor="text1"/>
        </w:rPr>
      </w:pPr>
      <w:r>
        <w:rPr>
          <w:rFonts w:ascii="Arial" w:hAnsi="Arial" w:cs="Arial"/>
          <w:b/>
        </w:rPr>
        <w:t xml:space="preserve">Call Center Response:  </w:t>
      </w:r>
      <w:r w:rsidRPr="004D6BB4">
        <w:rPr>
          <w:color w:val="000000" w:themeColor="text1"/>
        </w:rPr>
        <w:t>Just an FYI that you cannot extend the due date for initial CC applications once they have received the 30 days.  Confusing compared to other programs, but it is a definite 30 days.  Unfortunately, the RFA date must be the later date of 1/24/2018. Policy states that the parent can have an additional 30 days</w:t>
      </w:r>
    </w:p>
    <w:p w:rsidR="004D6BB4" w:rsidRDefault="004D6BB4" w:rsidP="00890263">
      <w:pPr>
        <w:tabs>
          <w:tab w:val="left" w:pos="6330"/>
        </w:tabs>
        <w:rPr>
          <w:rFonts w:ascii="Arial" w:hAnsi="Arial" w:cs="Arial"/>
          <w:b/>
        </w:rPr>
      </w:pPr>
      <w:r>
        <w:rPr>
          <w:noProof/>
        </w:rPr>
        <w:drawing>
          <wp:inline distT="0" distB="0" distL="0" distR="0">
            <wp:extent cx="4819650" cy="1533525"/>
            <wp:effectExtent l="0" t="0" r="0" b="9525"/>
            <wp:docPr id="1" name="Picture 1" descr="cid:image001.jpg@01D395BF.C24B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95BF.C24B40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19650" cy="1533525"/>
                    </a:xfrm>
                    <a:prstGeom prst="rect">
                      <a:avLst/>
                    </a:prstGeom>
                    <a:noFill/>
                    <a:ln>
                      <a:noFill/>
                    </a:ln>
                  </pic:spPr>
                </pic:pic>
              </a:graphicData>
            </a:graphic>
          </wp:inline>
        </w:drawing>
      </w:r>
    </w:p>
    <w:p w:rsidR="00B60D1F" w:rsidRDefault="00B60D1F" w:rsidP="00890263">
      <w:pPr>
        <w:tabs>
          <w:tab w:val="left" w:pos="6330"/>
        </w:tabs>
        <w:rPr>
          <w:rFonts w:ascii="Arial" w:hAnsi="Arial" w:cs="Arial"/>
          <w:b/>
        </w:rPr>
      </w:pPr>
    </w:p>
    <w:p w:rsidR="00B60D1F" w:rsidRDefault="00B60D1F" w:rsidP="00890263">
      <w:pPr>
        <w:tabs>
          <w:tab w:val="left" w:pos="6330"/>
        </w:tabs>
        <w:rPr>
          <w:rFonts w:ascii="Arial" w:hAnsi="Arial" w:cs="Arial"/>
        </w:rPr>
      </w:pPr>
      <w:r>
        <w:rPr>
          <w:rFonts w:ascii="Arial" w:hAnsi="Arial" w:cs="Arial"/>
          <w:b/>
        </w:rPr>
        <w:t xml:space="preserve">Scenario:  </w:t>
      </w:r>
      <w:r w:rsidRPr="00B60D1F">
        <w:rPr>
          <w:rFonts w:ascii="Arial" w:hAnsi="Arial" w:cs="Arial"/>
        </w:rPr>
        <w:t xml:space="preserve">When figuring an OP for CC do you use actual income for CC or do we use the converted </w:t>
      </w:r>
      <w:proofErr w:type="gramStart"/>
      <w:r w:rsidRPr="00B60D1F">
        <w:rPr>
          <w:rFonts w:ascii="Arial" w:hAnsi="Arial" w:cs="Arial"/>
        </w:rPr>
        <w:t>amounts ?</w:t>
      </w:r>
      <w:proofErr w:type="gramEnd"/>
      <w:r w:rsidRPr="00B60D1F">
        <w:rPr>
          <w:rFonts w:ascii="Arial" w:hAnsi="Arial" w:cs="Arial"/>
        </w:rPr>
        <w:t xml:space="preserve"> </w:t>
      </w:r>
    </w:p>
    <w:p w:rsidR="00B60D1F" w:rsidRPr="00B60D1F" w:rsidRDefault="00B60D1F" w:rsidP="00890263">
      <w:pPr>
        <w:tabs>
          <w:tab w:val="left" w:pos="6330"/>
        </w:tabs>
        <w:rPr>
          <w:rFonts w:ascii="Arial" w:hAnsi="Arial" w:cs="Arial"/>
          <w:color w:val="000000" w:themeColor="text1"/>
        </w:rPr>
      </w:pPr>
    </w:p>
    <w:p w:rsidR="00B60D1F" w:rsidRDefault="00B60D1F" w:rsidP="00B60D1F">
      <w:pPr>
        <w:rPr>
          <w:rFonts w:ascii="Arial" w:hAnsi="Arial" w:cs="Arial"/>
          <w:color w:val="000000" w:themeColor="text1"/>
        </w:rPr>
      </w:pPr>
      <w:r w:rsidRPr="00B60D1F">
        <w:rPr>
          <w:rFonts w:ascii="Arial" w:hAnsi="Arial" w:cs="Arial"/>
          <w:b/>
          <w:color w:val="000000" w:themeColor="text1"/>
        </w:rPr>
        <w:t>Call Center Response:</w:t>
      </w:r>
      <w:r w:rsidRPr="00B60D1F">
        <w:rPr>
          <w:rFonts w:ascii="Arial" w:hAnsi="Arial" w:cs="Arial"/>
          <w:color w:val="000000" w:themeColor="text1"/>
        </w:rPr>
        <w:t xml:space="preserve">  Agencies are advised to use </w:t>
      </w:r>
      <w:r w:rsidRPr="00B60D1F">
        <w:rPr>
          <w:rFonts w:ascii="Arial" w:hAnsi="Arial" w:cs="Arial"/>
          <w:b/>
          <w:bCs/>
          <w:color w:val="000000" w:themeColor="text1"/>
        </w:rPr>
        <w:t>actual</w:t>
      </w:r>
      <w:r w:rsidRPr="00B60D1F">
        <w:rPr>
          <w:rFonts w:ascii="Arial" w:hAnsi="Arial" w:cs="Arial"/>
          <w:color w:val="000000" w:themeColor="text1"/>
        </w:rPr>
        <w:t xml:space="preserve"> income versus converted income. The Chapter 4 policy manual will be updated soon to clear up any confusion. </w:t>
      </w:r>
    </w:p>
    <w:p w:rsidR="00B60D1F" w:rsidRDefault="00B60D1F" w:rsidP="00B60D1F">
      <w:pPr>
        <w:rPr>
          <w:rFonts w:ascii="Arial" w:hAnsi="Arial" w:cs="Arial"/>
          <w:color w:val="000000" w:themeColor="text1"/>
        </w:rPr>
      </w:pPr>
    </w:p>
    <w:p w:rsidR="00B60D1F" w:rsidRDefault="00396339" w:rsidP="00B60D1F">
      <w:pPr>
        <w:rPr>
          <w:rFonts w:ascii="Arial" w:hAnsi="Arial" w:cs="Arial"/>
          <w:color w:val="000000" w:themeColor="text1"/>
        </w:rPr>
      </w:pPr>
      <w:r w:rsidRPr="00396339">
        <w:rPr>
          <w:rFonts w:ascii="Arial" w:hAnsi="Arial" w:cs="Arial"/>
          <w:b/>
          <w:color w:val="000000" w:themeColor="text1"/>
        </w:rPr>
        <w:t>Scenario:</w:t>
      </w:r>
      <w:r>
        <w:rPr>
          <w:rFonts w:ascii="Arial" w:hAnsi="Arial" w:cs="Arial"/>
          <w:color w:val="000000" w:themeColor="text1"/>
        </w:rPr>
        <w:t xml:space="preserve">  Are agents allowed to use personal experience with an individual to allow them the disability exemption for Childcare? </w:t>
      </w:r>
    </w:p>
    <w:p w:rsidR="00396339" w:rsidRDefault="00396339" w:rsidP="00B60D1F">
      <w:pPr>
        <w:rPr>
          <w:rFonts w:ascii="Arial" w:hAnsi="Arial" w:cs="Arial"/>
          <w:color w:val="000000" w:themeColor="text1"/>
        </w:rPr>
      </w:pPr>
    </w:p>
    <w:p w:rsidR="00396339" w:rsidRDefault="00396339" w:rsidP="00396339">
      <w:pPr>
        <w:rPr>
          <w:rFonts w:ascii="Arial" w:hAnsi="Arial" w:cs="Arial"/>
          <w:color w:val="000000"/>
        </w:rPr>
      </w:pPr>
      <w:r w:rsidRPr="00396339">
        <w:rPr>
          <w:rFonts w:ascii="Arial" w:hAnsi="Arial" w:cs="Arial"/>
          <w:b/>
          <w:color w:val="000000" w:themeColor="text1"/>
        </w:rPr>
        <w:t>Call Center Response</w:t>
      </w:r>
      <w:r>
        <w:rPr>
          <w:rFonts w:ascii="Arial" w:hAnsi="Arial" w:cs="Arial"/>
          <w:color w:val="000000" w:themeColor="text1"/>
        </w:rPr>
        <w:t xml:space="preserve">: </w:t>
      </w:r>
      <w:r>
        <w:rPr>
          <w:rFonts w:ascii="Arial" w:hAnsi="Arial" w:cs="Arial"/>
          <w:color w:val="000000"/>
        </w:rPr>
        <w:t>No, you may not use a workers personal experience to make a determination of disability, 2.2.8.7.  “</w:t>
      </w:r>
      <w:proofErr w:type="gramStart"/>
      <w:r>
        <w:rPr>
          <w:rFonts w:ascii="Arial" w:hAnsi="Arial" w:cs="Arial"/>
          <w:color w:val="000000"/>
        </w:rPr>
        <w:t>unable</w:t>
      </w:r>
      <w:proofErr w:type="gramEnd"/>
      <w:r>
        <w:rPr>
          <w:rFonts w:ascii="Arial" w:hAnsi="Arial" w:cs="Arial"/>
          <w:color w:val="000000"/>
        </w:rPr>
        <w:t xml:space="preserve"> to work and unable to care for children as documented by a physician, psychiatrist, or psychologist.”</w:t>
      </w:r>
    </w:p>
    <w:p w:rsidR="00F50902" w:rsidRDefault="00F50902" w:rsidP="00396339">
      <w:pPr>
        <w:rPr>
          <w:rFonts w:ascii="Arial" w:hAnsi="Arial" w:cs="Arial"/>
          <w:color w:val="000000"/>
        </w:rPr>
      </w:pPr>
    </w:p>
    <w:p w:rsidR="00396339" w:rsidRDefault="00396339" w:rsidP="00396339">
      <w:pPr>
        <w:rPr>
          <w:rFonts w:ascii="Arial" w:hAnsi="Arial" w:cs="Arial"/>
          <w:color w:val="000000"/>
        </w:rPr>
      </w:pPr>
    </w:p>
    <w:tbl>
      <w:tblPr>
        <w:tblStyle w:val="TableGrid"/>
        <w:tblW w:w="0" w:type="auto"/>
        <w:tblInd w:w="85" w:type="dxa"/>
        <w:tblLook w:val="04A0" w:firstRow="1" w:lastRow="0" w:firstColumn="1" w:lastColumn="0" w:noHBand="0" w:noVBand="1"/>
      </w:tblPr>
      <w:tblGrid>
        <w:gridCol w:w="9265"/>
      </w:tblGrid>
      <w:tr w:rsidR="00F50902" w:rsidTr="002F0ACF">
        <w:tc>
          <w:tcPr>
            <w:tcW w:w="9265" w:type="dxa"/>
            <w:shd w:val="clear" w:color="auto" w:fill="9CC2E5" w:themeFill="accent1" w:themeFillTint="99"/>
          </w:tcPr>
          <w:p w:rsidR="00F50902" w:rsidRPr="00E22AA3" w:rsidRDefault="00F50902" w:rsidP="002F0ACF">
            <w:pPr>
              <w:jc w:val="center"/>
              <w:rPr>
                <w:rFonts w:asciiTheme="minorHAnsi" w:hAnsiTheme="minorHAnsi" w:cs="Arial"/>
                <w:color w:val="000000"/>
              </w:rPr>
            </w:pPr>
            <w:r w:rsidRPr="00E22AA3">
              <w:rPr>
                <w:rFonts w:asciiTheme="minorHAnsi" w:hAnsiTheme="minorHAnsi" w:cs="Arial"/>
                <w:color w:val="FFFFFF" w:themeColor="background1"/>
              </w:rPr>
              <w:t xml:space="preserve">CHILDCARE DHS CALL CENTER QUESTIONS       </w:t>
            </w:r>
            <w:r>
              <w:rPr>
                <w:rFonts w:asciiTheme="minorHAnsi" w:hAnsiTheme="minorHAnsi" w:cs="Arial"/>
                <w:color w:val="FFFFFF" w:themeColor="background1"/>
              </w:rPr>
              <w:t xml:space="preserve">                                  </w:t>
            </w:r>
            <w:r w:rsidRPr="00E22AA3">
              <w:rPr>
                <w:rFonts w:asciiTheme="minorHAnsi" w:hAnsiTheme="minorHAnsi" w:cs="Arial"/>
                <w:color w:val="FFFFFF" w:themeColor="background1"/>
              </w:rPr>
              <w:t xml:space="preserve">                                       February 2018                                                        </w:t>
            </w:r>
          </w:p>
        </w:tc>
      </w:tr>
    </w:tbl>
    <w:p w:rsidR="00F50902" w:rsidRDefault="00F50902" w:rsidP="00F50902">
      <w:pPr>
        <w:rPr>
          <w:rFonts w:ascii="Arial" w:hAnsi="Arial" w:cs="Arial"/>
          <w:color w:val="000000"/>
        </w:rPr>
      </w:pPr>
    </w:p>
    <w:p w:rsidR="00F50902" w:rsidRDefault="00F50902" w:rsidP="00F50902">
      <w:pPr>
        <w:rPr>
          <w:rFonts w:ascii="Arial" w:hAnsi="Arial" w:cs="Arial"/>
          <w:b/>
          <w:color w:val="000000"/>
        </w:rPr>
      </w:pPr>
    </w:p>
    <w:p w:rsidR="00F50902" w:rsidRPr="004E2131" w:rsidRDefault="00F50902" w:rsidP="00F50902">
      <w:pPr>
        <w:rPr>
          <w:rFonts w:ascii="Arial" w:hAnsi="Arial" w:cs="Arial"/>
          <w:b/>
          <w:color w:val="000000"/>
        </w:rPr>
      </w:pPr>
      <w:r w:rsidRPr="004E2131">
        <w:rPr>
          <w:rFonts w:ascii="Arial" w:hAnsi="Arial" w:cs="Arial"/>
          <w:b/>
          <w:color w:val="000000"/>
        </w:rPr>
        <w:t>Scenario:</w:t>
      </w:r>
      <w:r>
        <w:rPr>
          <w:rFonts w:ascii="Arial" w:hAnsi="Arial" w:cs="Arial"/>
          <w:b/>
          <w:color w:val="000000"/>
        </w:rPr>
        <w:t xml:space="preserve"> </w:t>
      </w:r>
      <w:r w:rsidRPr="004E2131">
        <w:rPr>
          <w:rFonts w:ascii="Arial" w:hAnsi="Arial" w:cs="Arial"/>
          <w:color w:val="000000"/>
        </w:rPr>
        <w:t>Hardship</w:t>
      </w:r>
      <w:r>
        <w:rPr>
          <w:rFonts w:ascii="Arial" w:hAnsi="Arial" w:cs="Arial"/>
          <w:color w:val="000000"/>
        </w:rPr>
        <w:t xml:space="preserve"> clarification –when do you enter the EBTCSAW Hardship screen?</w:t>
      </w:r>
    </w:p>
    <w:p w:rsidR="00F50902" w:rsidRPr="004E2131" w:rsidRDefault="00F50902" w:rsidP="00F50902">
      <w:pPr>
        <w:rPr>
          <w:rFonts w:ascii="Arial" w:hAnsi="Arial" w:cs="Arial"/>
          <w:b/>
          <w:color w:val="000000"/>
        </w:rPr>
      </w:pPr>
    </w:p>
    <w:p w:rsidR="00CA0819" w:rsidRPr="00CA0819" w:rsidRDefault="00F50902" w:rsidP="00CA0819">
      <w:pPr>
        <w:rPr>
          <w:rFonts w:ascii="Arial" w:hAnsi="Arial" w:cs="Arial"/>
        </w:rPr>
      </w:pPr>
      <w:r w:rsidRPr="004E2131">
        <w:rPr>
          <w:rFonts w:ascii="Arial" w:hAnsi="Arial" w:cs="Arial"/>
          <w:b/>
        </w:rPr>
        <w:t>Call Center Response:</w:t>
      </w:r>
      <w:r>
        <w:rPr>
          <w:rFonts w:ascii="Arial" w:hAnsi="Arial" w:cs="Arial"/>
          <w:b/>
        </w:rPr>
        <w:t xml:space="preserve"> </w:t>
      </w:r>
      <w:r w:rsidR="00CA0819" w:rsidRPr="00CA0819">
        <w:rPr>
          <w:rFonts w:ascii="Arial" w:hAnsi="Arial" w:cs="Arial"/>
        </w:rPr>
        <w:t xml:space="preserve">According to 2.2.13, “Families experiencing unforeseen circumstances that are no fault of their own and that inhibit them from utilizing the originally authorized child care provider during the current month may be eligible for a new authorization to a different child care provider during the current month…if continuing with the original child care provider would cause a hardship for the family.”  </w:t>
      </w:r>
    </w:p>
    <w:p w:rsidR="00CA0819" w:rsidRPr="00CA0819" w:rsidRDefault="00CA0819" w:rsidP="00CA0819">
      <w:pPr>
        <w:rPr>
          <w:rFonts w:ascii="Arial" w:hAnsi="Arial" w:cs="Arial"/>
        </w:rPr>
      </w:pPr>
    </w:p>
    <w:p w:rsidR="00CA0819" w:rsidRPr="00CA0819" w:rsidRDefault="00CA0819" w:rsidP="00CA0819">
      <w:pPr>
        <w:rPr>
          <w:rFonts w:ascii="Arial" w:hAnsi="Arial" w:cs="Arial"/>
        </w:rPr>
      </w:pPr>
      <w:r w:rsidRPr="00CA0819">
        <w:rPr>
          <w:rFonts w:ascii="Arial" w:hAnsi="Arial" w:cs="Arial"/>
        </w:rPr>
        <w:t xml:space="preserve">If a parent reports that they want to change </w:t>
      </w:r>
      <w:proofErr w:type="gramStart"/>
      <w:r w:rsidRPr="00CA0819">
        <w:rPr>
          <w:rFonts w:ascii="Arial" w:hAnsi="Arial" w:cs="Arial"/>
        </w:rPr>
        <w:t>providers</w:t>
      </w:r>
      <w:proofErr w:type="gramEnd"/>
      <w:r w:rsidRPr="00CA0819">
        <w:rPr>
          <w:rFonts w:ascii="Arial" w:hAnsi="Arial" w:cs="Arial"/>
        </w:rPr>
        <w:t xml:space="preserve"> mid-month, the first question a worker should ask is “can it wait until the first day of the following month?”  If the parent says yes, then </w:t>
      </w:r>
      <w:r w:rsidRPr="00CA0819">
        <w:rPr>
          <w:rFonts w:ascii="Arial" w:hAnsi="Arial" w:cs="Arial"/>
        </w:rPr>
        <w:lastRenderedPageBreak/>
        <w:t xml:space="preserve">this would not be considered a hardship and does not need to be documented on the hardship page.  </w:t>
      </w:r>
      <w:r>
        <w:rPr>
          <w:rFonts w:ascii="Arial" w:hAnsi="Arial" w:cs="Arial"/>
        </w:rPr>
        <w:t>(Cont’d)</w:t>
      </w:r>
    </w:p>
    <w:p w:rsidR="00CA0819" w:rsidRPr="00CA0819" w:rsidRDefault="00CA0819" w:rsidP="00CA0819">
      <w:pPr>
        <w:rPr>
          <w:rFonts w:ascii="Arial" w:hAnsi="Arial" w:cs="Arial"/>
        </w:rPr>
      </w:pPr>
    </w:p>
    <w:p w:rsidR="00CA0819" w:rsidRPr="00CA0819" w:rsidRDefault="00CA0819" w:rsidP="00CA0819">
      <w:pPr>
        <w:rPr>
          <w:rFonts w:ascii="Arial" w:hAnsi="Arial" w:cs="Arial"/>
        </w:rPr>
      </w:pPr>
      <w:r w:rsidRPr="00CA0819">
        <w:rPr>
          <w:rFonts w:ascii="Arial" w:hAnsi="Arial" w:cs="Arial"/>
        </w:rPr>
        <w:t>If the parent answers “can it wait until the first day of the following month” with a no, then the worker should ask the parent why he/she wants to change their child care provider, enter the request on the hardship page and then determine whether it meets a hardship situation.    </w:t>
      </w:r>
    </w:p>
    <w:p w:rsidR="00CA0819" w:rsidRPr="00CA0819" w:rsidRDefault="00CA0819" w:rsidP="00CA0819">
      <w:pPr>
        <w:rPr>
          <w:rFonts w:ascii="Arial" w:hAnsi="Arial" w:cs="Arial"/>
        </w:rPr>
      </w:pPr>
    </w:p>
    <w:p w:rsidR="00CA0819" w:rsidRDefault="00CA0819" w:rsidP="00CA0819">
      <w:pPr>
        <w:rPr>
          <w:rFonts w:ascii="Arial" w:hAnsi="Arial" w:cs="Arial"/>
        </w:rPr>
      </w:pPr>
      <w:r w:rsidRPr="00CA0819">
        <w:rPr>
          <w:rFonts w:ascii="Arial" w:hAnsi="Arial" w:cs="Arial"/>
        </w:rPr>
        <w:t xml:space="preserve">The intent of the Hardship page is </w:t>
      </w:r>
      <w:r w:rsidRPr="00CA0819">
        <w:rPr>
          <w:rFonts w:ascii="Arial" w:hAnsi="Arial" w:cs="Arial"/>
          <w:b/>
          <w:bCs/>
          <w:u w:val="single"/>
        </w:rPr>
        <w:t>not</w:t>
      </w:r>
      <w:r w:rsidRPr="00CA0819">
        <w:rPr>
          <w:rFonts w:ascii="Arial" w:hAnsi="Arial" w:cs="Arial"/>
        </w:rPr>
        <w:t xml:space="preserve"> to document </w:t>
      </w:r>
      <w:r w:rsidRPr="00CA0819">
        <w:rPr>
          <w:rFonts w:ascii="Arial" w:hAnsi="Arial" w:cs="Arial"/>
          <w:b/>
          <w:bCs/>
        </w:rPr>
        <w:t>every</w:t>
      </w:r>
      <w:r w:rsidRPr="00CA0819">
        <w:rPr>
          <w:rFonts w:ascii="Arial" w:hAnsi="Arial" w:cs="Arial"/>
        </w:rPr>
        <w:t xml:space="preserve"> situation in which a parent requests a second authorization for the same month but to document those requests that might be a hardship for the family and document whether they are approved or denied by the agency.  </w:t>
      </w:r>
    </w:p>
    <w:p w:rsidR="00CA0819" w:rsidRDefault="00CA0819" w:rsidP="00CA0819">
      <w:pPr>
        <w:rPr>
          <w:rFonts w:ascii="Arial" w:hAnsi="Arial" w:cs="Arial"/>
        </w:rPr>
      </w:pPr>
    </w:p>
    <w:p w:rsidR="00CA0819" w:rsidRPr="00CA0819" w:rsidRDefault="00CA0819" w:rsidP="00CA0819">
      <w:pPr>
        <w:rPr>
          <w:rFonts w:ascii="Arial" w:hAnsi="Arial" w:cs="Arial"/>
        </w:rPr>
      </w:pPr>
      <w:r>
        <w:rPr>
          <w:rFonts w:ascii="Arial" w:hAnsi="Arial" w:cs="Arial"/>
        </w:rPr>
        <w:t>A Denial letter must be sent – see CC Forms in IMSC Portal</w:t>
      </w:r>
    </w:p>
    <w:p w:rsidR="00396339" w:rsidRPr="00CA0819" w:rsidRDefault="00396339" w:rsidP="00B60D1F">
      <w:pPr>
        <w:rPr>
          <w:rFonts w:ascii="Arial" w:hAnsi="Arial" w:cs="Arial"/>
          <w:color w:val="000000" w:themeColor="text1"/>
        </w:rPr>
      </w:pPr>
    </w:p>
    <w:p w:rsidR="00B60D1F" w:rsidRDefault="00B60D1F"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Default="0097156E" w:rsidP="00890263">
      <w:pPr>
        <w:tabs>
          <w:tab w:val="left" w:pos="6330"/>
        </w:tabs>
        <w:rPr>
          <w:rFonts w:ascii="Arial" w:hAnsi="Arial" w:cs="Arial"/>
        </w:rPr>
      </w:pPr>
    </w:p>
    <w:p w:rsidR="0097156E" w:rsidRPr="00B60D1F" w:rsidRDefault="0097156E" w:rsidP="00890263">
      <w:pPr>
        <w:tabs>
          <w:tab w:val="left" w:pos="6330"/>
        </w:tabs>
        <w:rPr>
          <w:rFonts w:ascii="Arial" w:hAnsi="Arial" w:cs="Arial"/>
        </w:rPr>
      </w:pPr>
      <w:r>
        <w:rPr>
          <w:rFonts w:ascii="Arial" w:hAnsi="Arial" w:cs="Arial"/>
        </w:rPr>
        <w:t xml:space="preserve">Last update </w:t>
      </w:r>
      <w:bookmarkStart w:id="0" w:name="_GoBack"/>
      <w:bookmarkEnd w:id="0"/>
      <w:r>
        <w:rPr>
          <w:rFonts w:ascii="Arial" w:hAnsi="Arial" w:cs="Arial"/>
        </w:rPr>
        <w:t>02/26/18 MG</w:t>
      </w:r>
    </w:p>
    <w:sectPr w:rsidR="0097156E" w:rsidRPr="00B60D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713" w:rsidRDefault="00CD6713" w:rsidP="00890263">
      <w:r>
        <w:separator/>
      </w:r>
    </w:p>
  </w:endnote>
  <w:endnote w:type="continuationSeparator" w:id="0">
    <w:p w:rsidR="00CD6713" w:rsidRDefault="00CD6713" w:rsidP="0089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713" w:rsidRDefault="00CD6713" w:rsidP="00890263">
      <w:r>
        <w:separator/>
      </w:r>
    </w:p>
  </w:footnote>
  <w:footnote w:type="continuationSeparator" w:id="0">
    <w:p w:rsidR="00CD6713" w:rsidRDefault="00CD6713" w:rsidP="00890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63"/>
    <w:rsid w:val="00396339"/>
    <w:rsid w:val="004D6BB4"/>
    <w:rsid w:val="004F7510"/>
    <w:rsid w:val="00525FCD"/>
    <w:rsid w:val="00890263"/>
    <w:rsid w:val="0097156E"/>
    <w:rsid w:val="00B60D1F"/>
    <w:rsid w:val="00BF1523"/>
    <w:rsid w:val="00C34EB0"/>
    <w:rsid w:val="00CA0819"/>
    <w:rsid w:val="00CD6713"/>
    <w:rsid w:val="00DA50D5"/>
    <w:rsid w:val="00E72217"/>
    <w:rsid w:val="00F5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B7ACF71-22EE-453E-9E40-4D9F4A65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263"/>
    <w:pPr>
      <w:tabs>
        <w:tab w:val="center" w:pos="4680"/>
        <w:tab w:val="right" w:pos="9360"/>
      </w:tabs>
    </w:pPr>
  </w:style>
  <w:style w:type="character" w:customStyle="1" w:styleId="HeaderChar">
    <w:name w:val="Header Char"/>
    <w:basedOn w:val="DefaultParagraphFont"/>
    <w:link w:val="Header"/>
    <w:uiPriority w:val="99"/>
    <w:rsid w:val="00890263"/>
  </w:style>
  <w:style w:type="paragraph" w:styleId="Footer">
    <w:name w:val="footer"/>
    <w:basedOn w:val="Normal"/>
    <w:link w:val="FooterChar"/>
    <w:uiPriority w:val="99"/>
    <w:unhideWhenUsed/>
    <w:rsid w:val="00890263"/>
    <w:pPr>
      <w:tabs>
        <w:tab w:val="center" w:pos="4680"/>
        <w:tab w:val="right" w:pos="9360"/>
      </w:tabs>
    </w:pPr>
  </w:style>
  <w:style w:type="character" w:customStyle="1" w:styleId="FooterChar">
    <w:name w:val="Footer Char"/>
    <w:basedOn w:val="DefaultParagraphFont"/>
    <w:link w:val="Footer"/>
    <w:uiPriority w:val="99"/>
    <w:rsid w:val="00890263"/>
  </w:style>
  <w:style w:type="character" w:styleId="Hyperlink">
    <w:name w:val="Hyperlink"/>
    <w:basedOn w:val="DefaultParagraphFont"/>
    <w:uiPriority w:val="99"/>
    <w:semiHidden/>
    <w:unhideWhenUsed/>
    <w:rsid w:val="00890263"/>
    <w:rPr>
      <w:color w:val="0563C1"/>
      <w:u w:val="single"/>
    </w:rPr>
  </w:style>
  <w:style w:type="paragraph" w:styleId="BalloonText">
    <w:name w:val="Balloon Text"/>
    <w:basedOn w:val="Normal"/>
    <w:link w:val="BalloonTextChar"/>
    <w:uiPriority w:val="99"/>
    <w:semiHidden/>
    <w:unhideWhenUsed/>
    <w:rsid w:val="00E72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17"/>
    <w:rPr>
      <w:rFonts w:ascii="Segoe UI" w:hAnsi="Segoe UI" w:cs="Segoe UI"/>
      <w:sz w:val="18"/>
      <w:szCs w:val="18"/>
    </w:rPr>
  </w:style>
  <w:style w:type="table" w:styleId="TableGrid">
    <w:name w:val="Table Grid"/>
    <w:basedOn w:val="TableNormal"/>
    <w:uiPriority w:val="39"/>
    <w:rsid w:val="00F5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40509">
      <w:bodyDiv w:val="1"/>
      <w:marLeft w:val="0"/>
      <w:marRight w:val="0"/>
      <w:marTop w:val="0"/>
      <w:marBottom w:val="0"/>
      <w:divBdr>
        <w:top w:val="none" w:sz="0" w:space="0" w:color="auto"/>
        <w:left w:val="none" w:sz="0" w:space="0" w:color="auto"/>
        <w:bottom w:val="none" w:sz="0" w:space="0" w:color="auto"/>
        <w:right w:val="none" w:sz="0" w:space="0" w:color="auto"/>
      </w:divBdr>
    </w:div>
    <w:div w:id="792601236">
      <w:bodyDiv w:val="1"/>
      <w:marLeft w:val="0"/>
      <w:marRight w:val="0"/>
      <w:marTop w:val="0"/>
      <w:marBottom w:val="0"/>
      <w:divBdr>
        <w:top w:val="none" w:sz="0" w:space="0" w:color="auto"/>
        <w:left w:val="none" w:sz="0" w:space="0" w:color="auto"/>
        <w:bottom w:val="none" w:sz="0" w:space="0" w:color="auto"/>
        <w:right w:val="none" w:sz="0" w:space="0" w:color="auto"/>
      </w:divBdr>
    </w:div>
    <w:div w:id="834876983">
      <w:bodyDiv w:val="1"/>
      <w:marLeft w:val="0"/>
      <w:marRight w:val="0"/>
      <w:marTop w:val="0"/>
      <w:marBottom w:val="0"/>
      <w:divBdr>
        <w:top w:val="none" w:sz="0" w:space="0" w:color="auto"/>
        <w:left w:val="none" w:sz="0" w:space="0" w:color="auto"/>
        <w:bottom w:val="none" w:sz="0" w:space="0" w:color="auto"/>
        <w:right w:val="none" w:sz="0" w:space="0" w:color="auto"/>
      </w:divBdr>
    </w:div>
    <w:div w:id="978916577">
      <w:bodyDiv w:val="1"/>
      <w:marLeft w:val="0"/>
      <w:marRight w:val="0"/>
      <w:marTop w:val="0"/>
      <w:marBottom w:val="0"/>
      <w:divBdr>
        <w:top w:val="none" w:sz="0" w:space="0" w:color="auto"/>
        <w:left w:val="none" w:sz="0" w:space="0" w:color="auto"/>
        <w:bottom w:val="none" w:sz="0" w:space="0" w:color="auto"/>
        <w:right w:val="none" w:sz="0" w:space="0" w:color="auto"/>
      </w:divBdr>
    </w:div>
    <w:div w:id="1098328266">
      <w:bodyDiv w:val="1"/>
      <w:marLeft w:val="0"/>
      <w:marRight w:val="0"/>
      <w:marTop w:val="0"/>
      <w:marBottom w:val="0"/>
      <w:divBdr>
        <w:top w:val="none" w:sz="0" w:space="0" w:color="auto"/>
        <w:left w:val="none" w:sz="0" w:space="0" w:color="auto"/>
        <w:bottom w:val="none" w:sz="0" w:space="0" w:color="auto"/>
        <w:right w:val="none" w:sz="0" w:space="0" w:color="auto"/>
      </w:divBdr>
    </w:div>
    <w:div w:id="1316911455">
      <w:bodyDiv w:val="1"/>
      <w:marLeft w:val="0"/>
      <w:marRight w:val="0"/>
      <w:marTop w:val="0"/>
      <w:marBottom w:val="0"/>
      <w:divBdr>
        <w:top w:val="none" w:sz="0" w:space="0" w:color="auto"/>
        <w:left w:val="none" w:sz="0" w:space="0" w:color="auto"/>
        <w:bottom w:val="none" w:sz="0" w:space="0" w:color="auto"/>
        <w:right w:val="none" w:sz="0" w:space="0" w:color="auto"/>
      </w:divBdr>
    </w:div>
    <w:div w:id="1616518579">
      <w:bodyDiv w:val="1"/>
      <w:marLeft w:val="0"/>
      <w:marRight w:val="0"/>
      <w:marTop w:val="0"/>
      <w:marBottom w:val="0"/>
      <w:divBdr>
        <w:top w:val="none" w:sz="0" w:space="0" w:color="auto"/>
        <w:left w:val="none" w:sz="0" w:space="0" w:color="auto"/>
        <w:bottom w:val="none" w:sz="0" w:space="0" w:color="auto"/>
        <w:right w:val="none" w:sz="0" w:space="0" w:color="auto"/>
      </w:divBdr>
    </w:div>
    <w:div w:id="1792245030">
      <w:bodyDiv w:val="1"/>
      <w:marLeft w:val="0"/>
      <w:marRight w:val="0"/>
      <w:marTop w:val="0"/>
      <w:marBottom w:val="0"/>
      <w:divBdr>
        <w:top w:val="none" w:sz="0" w:space="0" w:color="auto"/>
        <w:left w:val="none" w:sz="0" w:space="0" w:color="auto"/>
        <w:bottom w:val="none" w:sz="0" w:space="0" w:color="auto"/>
        <w:right w:val="none" w:sz="0" w:space="0" w:color="auto"/>
      </w:divBdr>
    </w:div>
    <w:div w:id="21104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95BF.C24B400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f.wisconsin.gov/manuals/wishares-cc-manu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Childcare DHS call center questions                                                                               January 2018</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DHS call center questions                                                                               January 2018</dc:title>
  <dc:subject/>
  <dc:creator>ANNE DILLAVOU-BRIGHAM</dc:creator>
  <cp:keywords/>
  <dc:description/>
  <cp:lastModifiedBy>MELISSA GENZ</cp:lastModifiedBy>
  <cp:revision>5</cp:revision>
  <cp:lastPrinted>2018-01-24T17:15:00Z</cp:lastPrinted>
  <dcterms:created xsi:type="dcterms:W3CDTF">2018-02-21T14:36:00Z</dcterms:created>
  <dcterms:modified xsi:type="dcterms:W3CDTF">2018-02-26T22:26:00Z</dcterms:modified>
</cp:coreProperties>
</file>