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ECBA" w14:textId="3A598ADD" w:rsidR="00E21046" w:rsidRDefault="00E21046" w:rsidP="00E21046">
      <w:pPr>
        <w:pStyle w:val="NormalWeb"/>
        <w:spacing w:before="0" w:beforeAutospacing="0" w:after="0" w:afterAutospacing="0"/>
        <w:jc w:val="center"/>
        <w:rPr>
          <w:rFonts w:ascii="Calibri" w:hAnsi="Calibri" w:cs="Calibri"/>
          <w:b/>
          <w:bCs/>
          <w:sz w:val="22"/>
          <w:szCs w:val="22"/>
          <w:u w:val="single"/>
          <w:lang w:val="en-US"/>
        </w:rPr>
      </w:pPr>
      <w:r>
        <w:rPr>
          <w:rFonts w:ascii="Calibri" w:hAnsi="Calibri" w:cs="Calibri"/>
          <w:b/>
          <w:bCs/>
          <w:sz w:val="22"/>
          <w:szCs w:val="22"/>
          <w:u w:val="single"/>
          <w:lang w:val="en-US"/>
        </w:rPr>
        <w:t>Transferring a Call to a Queue</w:t>
      </w:r>
      <w:r w:rsidR="0019389D">
        <w:rPr>
          <w:rFonts w:ascii="Calibri" w:hAnsi="Calibri" w:cs="Calibri"/>
          <w:b/>
          <w:bCs/>
          <w:sz w:val="22"/>
          <w:szCs w:val="22"/>
          <w:u w:val="single"/>
          <w:lang w:val="en-US"/>
        </w:rPr>
        <w:t xml:space="preserve"> (Updated 12/7/21)</w:t>
      </w:r>
    </w:p>
    <w:p w14:paraId="5244939B" w14:textId="77777777" w:rsidR="00E21046" w:rsidRDefault="00E21046" w:rsidP="00E21046">
      <w:pPr>
        <w:pStyle w:val="NormalWeb"/>
        <w:spacing w:before="0" w:beforeAutospacing="0" w:after="0" w:afterAutospacing="0"/>
        <w:rPr>
          <w:rFonts w:ascii="Calibri" w:hAnsi="Calibri" w:cs="Calibri"/>
          <w:b/>
          <w:bCs/>
          <w:sz w:val="22"/>
          <w:szCs w:val="22"/>
          <w:lang w:val="en-US"/>
        </w:rPr>
      </w:pPr>
    </w:p>
    <w:p w14:paraId="2BDF7AD9" w14:textId="77777777" w:rsidR="00E21046" w:rsidRDefault="00E21046" w:rsidP="00E21046">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One – </w:t>
      </w:r>
      <w:r>
        <w:rPr>
          <w:rFonts w:ascii="Calibri" w:hAnsi="Calibri" w:cs="Calibri"/>
          <w:sz w:val="22"/>
          <w:szCs w:val="22"/>
          <w:lang w:val="en-US"/>
        </w:rPr>
        <w:t>While on the call, click the Instant Transfer button.</w:t>
      </w:r>
    </w:p>
    <w:p w14:paraId="3778B2FF" w14:textId="77777777" w:rsidR="00E21046" w:rsidRDefault="00E21046" w:rsidP="00E21046">
      <w:pPr>
        <w:pStyle w:val="NormalWeb"/>
        <w:spacing w:before="0" w:beforeAutospacing="0" w:after="0" w:afterAutospacing="0"/>
        <w:rPr>
          <w:rFonts w:ascii="Calibri" w:hAnsi="Calibri" w:cs="Calibri"/>
          <w:sz w:val="22"/>
          <w:szCs w:val="22"/>
          <w:lang w:val="en-US"/>
        </w:rPr>
      </w:pPr>
      <w:r>
        <w:rPr>
          <w:noProof/>
        </w:rPr>
        <w:drawing>
          <wp:inline distT="0" distB="0" distL="0" distR="0" wp14:anchorId="6537EBCA" wp14:editId="3DD1EF16">
            <wp:extent cx="4715969" cy="548640"/>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29201" cy="550179"/>
                    </a:xfrm>
                    <a:prstGeom prst="rect">
                      <a:avLst/>
                    </a:prstGeom>
                  </pic:spPr>
                </pic:pic>
              </a:graphicData>
            </a:graphic>
          </wp:inline>
        </w:drawing>
      </w:r>
    </w:p>
    <w:p w14:paraId="2C77A426" w14:textId="77777777" w:rsidR="00E21046" w:rsidRDefault="00E21046" w:rsidP="00E21046">
      <w:pPr>
        <w:pStyle w:val="NormalWeb"/>
        <w:spacing w:before="0" w:beforeAutospacing="0" w:after="0" w:afterAutospacing="0"/>
        <w:rPr>
          <w:rFonts w:ascii="Calibri" w:hAnsi="Calibri" w:cs="Calibri"/>
          <w:sz w:val="22"/>
          <w:szCs w:val="22"/>
          <w:lang w:val="en-US"/>
        </w:rPr>
      </w:pPr>
    </w:p>
    <w:p w14:paraId="04E11289" w14:textId="77777777" w:rsidR="00E21046" w:rsidRDefault="00E21046" w:rsidP="00E21046">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Two – </w:t>
      </w:r>
      <w:r>
        <w:rPr>
          <w:rFonts w:ascii="Calibri" w:hAnsi="Calibri" w:cs="Calibri"/>
          <w:sz w:val="22"/>
          <w:szCs w:val="22"/>
          <w:lang w:val="en-US"/>
        </w:rPr>
        <w:t xml:space="preserve">Type to 5-digit code for the Queue you are transferring to.  </w:t>
      </w:r>
    </w:p>
    <w:p w14:paraId="4990C53F" w14:textId="77777777" w:rsidR="00E21046" w:rsidRPr="008A42B6" w:rsidRDefault="00E21046" w:rsidP="00E21046">
      <w:pPr>
        <w:pStyle w:val="NormalWeb"/>
        <w:spacing w:before="0" w:beforeAutospacing="0" w:after="0" w:afterAutospacing="0"/>
        <w:rPr>
          <w:rFonts w:ascii="Calibri" w:hAnsi="Calibri" w:cs="Calibri"/>
          <w:sz w:val="22"/>
          <w:szCs w:val="22"/>
          <w:lang w:val="en-US"/>
        </w:rPr>
      </w:pPr>
      <w:r>
        <w:rPr>
          <w:noProof/>
        </w:rPr>
        <w:drawing>
          <wp:inline distT="0" distB="0" distL="0" distR="0" wp14:anchorId="784CD087" wp14:editId="3FE2C46C">
            <wp:extent cx="4789295" cy="2362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09" t="15891" r="54283" b="48837"/>
                    <a:stretch/>
                  </pic:blipFill>
                  <pic:spPr bwMode="auto">
                    <a:xfrm>
                      <a:off x="0" y="0"/>
                      <a:ext cx="4848435" cy="2391369"/>
                    </a:xfrm>
                    <a:prstGeom prst="rect">
                      <a:avLst/>
                    </a:prstGeom>
                    <a:ln>
                      <a:noFill/>
                    </a:ln>
                    <a:extLst>
                      <a:ext uri="{53640926-AAD7-44D8-BBD7-CCE9431645EC}">
                        <a14:shadowObscured xmlns:a14="http://schemas.microsoft.com/office/drawing/2010/main"/>
                      </a:ext>
                    </a:extLst>
                  </pic:spPr>
                </pic:pic>
              </a:graphicData>
            </a:graphic>
          </wp:inline>
        </w:drawing>
      </w:r>
    </w:p>
    <w:p w14:paraId="51EBD38F" w14:textId="77777777" w:rsidR="00E21046" w:rsidRDefault="00E21046" w:rsidP="00E21046">
      <w:pPr>
        <w:pStyle w:val="NormalWeb"/>
        <w:spacing w:before="0" w:beforeAutospacing="0" w:after="0" w:afterAutospacing="0"/>
        <w:rPr>
          <w:rFonts w:ascii="Calibri" w:hAnsi="Calibri" w:cs="Calibri"/>
          <w:sz w:val="22"/>
          <w:szCs w:val="22"/>
          <w:lang w:val="en-US"/>
        </w:rPr>
      </w:pPr>
      <w:r w:rsidRPr="002A27D5">
        <w:rPr>
          <w:rFonts w:ascii="Calibri" w:hAnsi="Calibri" w:cs="Calibri"/>
          <w:sz w:val="22"/>
          <w:szCs w:val="22"/>
          <w:lang w:val="en-US"/>
        </w:rPr>
        <w:t xml:space="preserve"> </w:t>
      </w:r>
    </w:p>
    <w:p w14:paraId="5F1FEE56" w14:textId="77777777" w:rsidR="00E21046" w:rsidRDefault="00E21046" w:rsidP="00E21046">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lang w:val="en-US"/>
        </w:rPr>
        <w:t xml:space="preserve">Step Three – </w:t>
      </w:r>
      <w:r>
        <w:rPr>
          <w:rFonts w:ascii="Calibri" w:hAnsi="Calibri" w:cs="Calibri"/>
          <w:sz w:val="22"/>
          <w:szCs w:val="22"/>
          <w:lang w:val="en-US"/>
        </w:rPr>
        <w:t>Click the Phone Icon to send the call to the queue.</w:t>
      </w:r>
    </w:p>
    <w:p w14:paraId="67074DD4" w14:textId="77777777" w:rsidR="00E21046" w:rsidRDefault="00E21046" w:rsidP="00E21046">
      <w:pPr>
        <w:pStyle w:val="NormalWeb"/>
        <w:spacing w:before="0" w:beforeAutospacing="0" w:after="0" w:afterAutospacing="0"/>
        <w:rPr>
          <w:rFonts w:ascii="Calibri" w:hAnsi="Calibri" w:cs="Calibri"/>
          <w:sz w:val="22"/>
          <w:szCs w:val="22"/>
          <w:lang w:val="en-US"/>
        </w:rPr>
      </w:pPr>
      <w:r>
        <w:rPr>
          <w:noProof/>
        </w:rPr>
        <w:drawing>
          <wp:inline distT="0" distB="0" distL="0" distR="0" wp14:anchorId="3FBB76C5" wp14:editId="15C84307">
            <wp:extent cx="2933700" cy="981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3700" cy="981075"/>
                    </a:xfrm>
                    <a:prstGeom prst="rect">
                      <a:avLst/>
                    </a:prstGeom>
                  </pic:spPr>
                </pic:pic>
              </a:graphicData>
            </a:graphic>
          </wp:inline>
        </w:drawing>
      </w:r>
    </w:p>
    <w:p w14:paraId="1E41B022" w14:textId="77777777" w:rsidR="00E21046" w:rsidRDefault="00E21046" w:rsidP="00E21046">
      <w:pPr>
        <w:pStyle w:val="NormalWeb"/>
        <w:spacing w:before="0" w:beforeAutospacing="0" w:after="0" w:afterAutospacing="0"/>
        <w:rPr>
          <w:rFonts w:ascii="Calibri" w:hAnsi="Calibri" w:cs="Calibri"/>
          <w:sz w:val="22"/>
          <w:szCs w:val="22"/>
          <w:lang w:val="en-US"/>
        </w:rPr>
      </w:pPr>
    </w:p>
    <w:p w14:paraId="590ED454" w14:textId="77777777" w:rsidR="00E21046" w:rsidRDefault="00E21046" w:rsidP="00E21046">
      <w:pPr>
        <w:pStyle w:val="NormalWeb"/>
        <w:spacing w:before="0" w:beforeAutospacing="0" w:after="0" w:afterAutospacing="0"/>
        <w:rPr>
          <w:rFonts w:ascii="Calibri" w:hAnsi="Calibri" w:cs="Calibri"/>
          <w:sz w:val="22"/>
          <w:szCs w:val="22"/>
          <w:lang w:val="en-US"/>
        </w:rPr>
      </w:pPr>
    </w:p>
    <w:p w14:paraId="28F47B66" w14:textId="77777777" w:rsidR="00E21046" w:rsidRDefault="00E21046" w:rsidP="00E21046">
      <w:pPr>
        <w:pStyle w:val="NormalWeb"/>
        <w:spacing w:before="0" w:beforeAutospacing="0" w:after="0" w:afterAutospacing="0"/>
        <w:rPr>
          <w:rFonts w:ascii="Calibri" w:hAnsi="Calibri" w:cs="Calibri"/>
          <w:b/>
          <w:bCs/>
          <w:sz w:val="22"/>
          <w:szCs w:val="22"/>
          <w:u w:val="single"/>
          <w:lang w:val="en-US"/>
        </w:rPr>
      </w:pPr>
      <w:r>
        <w:rPr>
          <w:rFonts w:ascii="Calibri" w:hAnsi="Calibri" w:cs="Calibri"/>
          <w:b/>
          <w:bCs/>
          <w:sz w:val="22"/>
          <w:szCs w:val="22"/>
          <w:u w:val="single"/>
          <w:lang w:val="en-US"/>
        </w:rPr>
        <w:t>SOUTHERN QUEUE TRANSFER CODES</w:t>
      </w:r>
    </w:p>
    <w:p w14:paraId="462ECC93" w14:textId="77777777" w:rsidR="00E21046" w:rsidRPr="008A6189" w:rsidRDefault="00E21046" w:rsidP="00E21046">
      <w:pPr>
        <w:pStyle w:val="NormalWeb"/>
        <w:spacing w:before="0" w:beforeAutospacing="0" w:after="0" w:afterAutospacing="0"/>
        <w:rPr>
          <w:rFonts w:ascii="Calibri" w:hAnsi="Calibri" w:cs="Calibri"/>
          <w:b/>
          <w:bCs/>
          <w:sz w:val="22"/>
          <w:szCs w:val="22"/>
          <w:u w:val="single"/>
          <w:lang w:val="en-US"/>
        </w:rPr>
      </w:pPr>
    </w:p>
    <w:tbl>
      <w:tblPr>
        <w:tblW w:w="5850" w:type="dxa"/>
        <w:tblCellMar>
          <w:left w:w="0" w:type="dxa"/>
          <w:right w:w="0" w:type="dxa"/>
        </w:tblCellMar>
        <w:tblLook w:val="04A0" w:firstRow="1" w:lastRow="0" w:firstColumn="1" w:lastColumn="0" w:noHBand="0" w:noVBand="1"/>
      </w:tblPr>
      <w:tblGrid>
        <w:gridCol w:w="4083"/>
        <w:gridCol w:w="1767"/>
      </w:tblGrid>
      <w:tr w:rsidR="00E21046" w14:paraId="1AA6FEAE" w14:textId="77777777" w:rsidTr="001C6A64">
        <w:trPr>
          <w:trHeight w:val="288"/>
        </w:trPr>
        <w:tc>
          <w:tcPr>
            <w:tcW w:w="408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C6AF90D" w14:textId="77777777" w:rsidR="00E21046" w:rsidRDefault="00E21046" w:rsidP="001C6A64">
            <w:pPr>
              <w:pStyle w:val="cs2654ae3a"/>
            </w:pPr>
            <w:r>
              <w:rPr>
                <w:rStyle w:val="csc8f6d761"/>
              </w:rPr>
              <w:t>Name</w:t>
            </w:r>
          </w:p>
        </w:tc>
        <w:tc>
          <w:tcPr>
            <w:tcW w:w="176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7EE10C6F" w14:textId="77777777" w:rsidR="00E21046" w:rsidRDefault="00E21046" w:rsidP="001C6A64">
            <w:pPr>
              <w:pStyle w:val="cs2654ae3a"/>
            </w:pPr>
            <w:r>
              <w:rPr>
                <w:rStyle w:val="csc8f6d761"/>
              </w:rPr>
              <w:t>Route Point (RP)</w:t>
            </w:r>
          </w:p>
        </w:tc>
      </w:tr>
      <w:tr w:rsidR="00E21046" w14:paraId="646DB688"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3851289" w14:textId="77777777" w:rsidR="00E21046" w:rsidRDefault="00E21046" w:rsidP="001C6A64">
            <w:pPr>
              <w:pStyle w:val="cs2654ae3a"/>
            </w:pPr>
            <w:r>
              <w:rPr>
                <w:rStyle w:val="csc8f6d761"/>
              </w:rPr>
              <w:t>Southern_Transfer_Gen</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324C385" w14:textId="77777777" w:rsidR="00E21046" w:rsidRDefault="00E21046" w:rsidP="001C6A64">
            <w:pPr>
              <w:pStyle w:val="cs7c1f8b9d"/>
            </w:pPr>
            <w:r>
              <w:rPr>
                <w:rStyle w:val="csc8f6d761"/>
              </w:rPr>
              <w:t>51123</w:t>
            </w:r>
          </w:p>
        </w:tc>
      </w:tr>
      <w:tr w:rsidR="00E21046" w14:paraId="71E8C088"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0006AED" w14:textId="77777777" w:rsidR="00E21046" w:rsidRDefault="00E21046" w:rsidP="001C6A64">
            <w:pPr>
              <w:pStyle w:val="cs2654ae3a"/>
            </w:pPr>
            <w:r>
              <w:rPr>
                <w:rStyle w:val="csc8f6d761"/>
              </w:rPr>
              <w:t>Southern_Transfer_Esp</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B12F90B" w14:textId="77777777" w:rsidR="00E21046" w:rsidRDefault="00E21046" w:rsidP="001C6A64">
            <w:pPr>
              <w:pStyle w:val="cs7c1f8b9d"/>
            </w:pPr>
            <w:r>
              <w:rPr>
                <w:rStyle w:val="csc8f6d761"/>
              </w:rPr>
              <w:t>51124</w:t>
            </w:r>
          </w:p>
        </w:tc>
      </w:tr>
      <w:tr w:rsidR="00E21046" w14:paraId="6550863F"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092F21B0" w14:textId="77777777" w:rsidR="00E21046" w:rsidRDefault="00E21046" w:rsidP="001C6A64">
            <w:pPr>
              <w:pStyle w:val="cs2654ae3a"/>
            </w:pPr>
            <w:r>
              <w:rPr>
                <w:rStyle w:val="csc8f6d761"/>
              </w:rPr>
              <w:t>Southern_Transfer_EBD</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02C0F36" w14:textId="77777777" w:rsidR="00E21046" w:rsidRDefault="00E21046" w:rsidP="001C6A64">
            <w:pPr>
              <w:pStyle w:val="cs7c1f8b9d"/>
            </w:pPr>
            <w:r>
              <w:rPr>
                <w:rStyle w:val="csc8f6d761"/>
              </w:rPr>
              <w:t>51127</w:t>
            </w:r>
          </w:p>
        </w:tc>
      </w:tr>
      <w:tr w:rsidR="00E21046" w14:paraId="13A7B91E"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D3B1400" w14:textId="77777777" w:rsidR="00E21046" w:rsidRDefault="00E21046" w:rsidP="001C6A64">
            <w:pPr>
              <w:pStyle w:val="cs2654ae3a"/>
            </w:pPr>
            <w:r>
              <w:rPr>
                <w:rStyle w:val="csc8f6d761"/>
              </w:rPr>
              <w:t>Southern_Transfer_LTC</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E7B1A2B" w14:textId="77777777" w:rsidR="00E21046" w:rsidRDefault="00E21046" w:rsidP="001C6A64">
            <w:pPr>
              <w:pStyle w:val="cs7c1f8b9d"/>
            </w:pPr>
            <w:r>
              <w:rPr>
                <w:rStyle w:val="csc8f6d761"/>
              </w:rPr>
              <w:t>51128</w:t>
            </w:r>
          </w:p>
        </w:tc>
      </w:tr>
      <w:tr w:rsidR="00E21046" w14:paraId="356FF325"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475710B" w14:textId="77777777" w:rsidR="00E21046" w:rsidRDefault="00E21046" w:rsidP="001C6A64">
            <w:pPr>
              <w:pStyle w:val="cs2654ae3a"/>
            </w:pPr>
            <w:r>
              <w:rPr>
                <w:rStyle w:val="csc8f6d761"/>
              </w:rPr>
              <w:t>Southern_Transfer_CC_Rock</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87E6EDD" w14:textId="77777777" w:rsidR="00E21046" w:rsidRDefault="00E21046" w:rsidP="001C6A64">
            <w:pPr>
              <w:pStyle w:val="cs7c1f8b9d"/>
            </w:pPr>
            <w:r>
              <w:rPr>
                <w:rStyle w:val="csc8f6d761"/>
              </w:rPr>
              <w:t>51129</w:t>
            </w:r>
          </w:p>
        </w:tc>
      </w:tr>
      <w:tr w:rsidR="00E21046" w14:paraId="74BEDFCF"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2CFAAA2" w14:textId="77777777" w:rsidR="00E21046" w:rsidRDefault="00E21046" w:rsidP="001C6A64">
            <w:pPr>
              <w:pStyle w:val="cs2654ae3a"/>
            </w:pPr>
            <w:r>
              <w:rPr>
                <w:rStyle w:val="csc8f6d761"/>
              </w:rPr>
              <w:t>Southern_Transfer_CC_Jefferson_County</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3D1DAAD" w14:textId="77777777" w:rsidR="00E21046" w:rsidRDefault="00E21046" w:rsidP="001C6A64">
            <w:pPr>
              <w:pStyle w:val="cs7c1f8b9d"/>
            </w:pPr>
            <w:r>
              <w:rPr>
                <w:rStyle w:val="csc8f6d761"/>
              </w:rPr>
              <w:t>51130</w:t>
            </w:r>
          </w:p>
        </w:tc>
      </w:tr>
      <w:tr w:rsidR="00E21046" w14:paraId="424F5376"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99CF48B" w14:textId="77777777" w:rsidR="00E21046" w:rsidRDefault="00E21046" w:rsidP="001C6A64">
            <w:pPr>
              <w:pStyle w:val="cs2654ae3a"/>
            </w:pPr>
            <w:r>
              <w:rPr>
                <w:rStyle w:val="csc8f6d761"/>
              </w:rPr>
              <w:t>Southern_Transfer_CC_Grant_County</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55E6B82" w14:textId="77777777" w:rsidR="00E21046" w:rsidRDefault="00E21046" w:rsidP="001C6A64">
            <w:pPr>
              <w:pStyle w:val="cs7c1f8b9d"/>
            </w:pPr>
            <w:r>
              <w:rPr>
                <w:rStyle w:val="csc8f6d761"/>
              </w:rPr>
              <w:t>51131</w:t>
            </w:r>
          </w:p>
        </w:tc>
      </w:tr>
      <w:tr w:rsidR="00E21046" w14:paraId="7ADDA0D2"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841ABCF" w14:textId="77777777" w:rsidR="00E21046" w:rsidRDefault="00E21046" w:rsidP="001C6A64">
            <w:pPr>
              <w:pStyle w:val="cs2654ae3a"/>
            </w:pPr>
            <w:r>
              <w:rPr>
                <w:rStyle w:val="csc8f6d761"/>
              </w:rPr>
              <w:t>Southern_Transfer_CC_Green_County</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A690B28" w14:textId="77777777" w:rsidR="00E21046" w:rsidRDefault="00E21046" w:rsidP="001C6A64">
            <w:pPr>
              <w:pStyle w:val="cs7c1f8b9d"/>
            </w:pPr>
            <w:r>
              <w:rPr>
                <w:rStyle w:val="csc8f6d761"/>
              </w:rPr>
              <w:t>51132</w:t>
            </w:r>
          </w:p>
        </w:tc>
      </w:tr>
      <w:tr w:rsidR="00E21046" w14:paraId="23135496"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36F8756" w14:textId="77777777" w:rsidR="00E21046" w:rsidRDefault="00E21046" w:rsidP="001C6A64">
            <w:pPr>
              <w:pStyle w:val="cs2654ae3a"/>
            </w:pPr>
            <w:r>
              <w:rPr>
                <w:rStyle w:val="csc8f6d761"/>
              </w:rPr>
              <w:t>Southern_Transfer_CC_Iowa_County</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8A7A937" w14:textId="77777777" w:rsidR="00E21046" w:rsidRDefault="00E21046" w:rsidP="001C6A64">
            <w:pPr>
              <w:pStyle w:val="cs7c1f8b9d"/>
            </w:pPr>
            <w:r>
              <w:rPr>
                <w:rStyle w:val="csc8f6d761"/>
              </w:rPr>
              <w:t>51133</w:t>
            </w:r>
          </w:p>
        </w:tc>
      </w:tr>
      <w:tr w:rsidR="00E21046" w14:paraId="0D147ED2"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7A0BB69" w14:textId="77777777" w:rsidR="00E21046" w:rsidRDefault="00E21046" w:rsidP="001C6A64">
            <w:pPr>
              <w:pStyle w:val="cs2654ae3a"/>
            </w:pPr>
            <w:r>
              <w:rPr>
                <w:rStyle w:val="csc8f6d761"/>
              </w:rPr>
              <w:t>Southern_Transfer_CC_Crawford_County</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C427879" w14:textId="77777777" w:rsidR="00E21046" w:rsidRDefault="00E21046" w:rsidP="001C6A64">
            <w:pPr>
              <w:pStyle w:val="cs7c1f8b9d"/>
            </w:pPr>
            <w:r>
              <w:rPr>
                <w:rStyle w:val="csc8f6d761"/>
              </w:rPr>
              <w:t>51134</w:t>
            </w:r>
          </w:p>
        </w:tc>
      </w:tr>
      <w:tr w:rsidR="00E21046" w14:paraId="70B7C5CF" w14:textId="77777777" w:rsidTr="001C6A64">
        <w:trPr>
          <w:trHeight w:val="288"/>
        </w:trPr>
        <w:tc>
          <w:tcPr>
            <w:tcW w:w="408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651EEFE" w14:textId="77777777" w:rsidR="00E21046" w:rsidRDefault="00E21046" w:rsidP="001C6A64">
            <w:pPr>
              <w:pStyle w:val="cs2654ae3a"/>
            </w:pPr>
            <w:r>
              <w:rPr>
                <w:rStyle w:val="csc8f6d761"/>
              </w:rPr>
              <w:t>Southern_Transfer_CC_Lafayette_County</w:t>
            </w:r>
          </w:p>
        </w:tc>
        <w:tc>
          <w:tcPr>
            <w:tcW w:w="17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04A62A8" w14:textId="77777777" w:rsidR="00E21046" w:rsidRDefault="00E21046" w:rsidP="001C6A64">
            <w:pPr>
              <w:pStyle w:val="cs7c1f8b9d"/>
            </w:pPr>
            <w:r>
              <w:rPr>
                <w:rStyle w:val="csc8f6d761"/>
              </w:rPr>
              <w:t>51135</w:t>
            </w:r>
          </w:p>
        </w:tc>
      </w:tr>
    </w:tbl>
    <w:p w14:paraId="552C7CED" w14:textId="77777777" w:rsidR="00E21046" w:rsidRDefault="00E21046" w:rsidP="00E21046">
      <w:pPr>
        <w:pStyle w:val="NormalWeb"/>
        <w:spacing w:before="0" w:beforeAutospacing="0" w:after="0" w:afterAutospacing="0"/>
        <w:rPr>
          <w:rFonts w:ascii="Calibri" w:hAnsi="Calibri" w:cs="Calibri"/>
          <w:sz w:val="22"/>
          <w:szCs w:val="22"/>
          <w:lang w:val="en-US"/>
        </w:rPr>
      </w:pPr>
    </w:p>
    <w:p w14:paraId="1A874BAD" w14:textId="7996362D" w:rsidR="00703F60" w:rsidRPr="00E21046" w:rsidRDefault="00E21046" w:rsidP="00E21046">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Note: If it’s not listed in the chart above, you shouldn’t be transferring calls to that queue.  Do NOT transfer calls to other consortiums.  Provide the correct number for the individual to contact the consortium directly.</w:t>
      </w:r>
    </w:p>
    <w:sectPr w:rsidR="00703F60" w:rsidRPr="00E21046" w:rsidSect="00E2104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46"/>
    <w:rsid w:val="0019389D"/>
    <w:rsid w:val="00703F60"/>
    <w:rsid w:val="00E2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E587"/>
  <w15:chartTrackingRefBased/>
  <w15:docId w15:val="{35D692EA-4687-46D3-B637-0F079F35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04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s2654ae3a">
    <w:name w:val="cs2654ae3a"/>
    <w:basedOn w:val="Normal"/>
    <w:rsid w:val="00E21046"/>
    <w:pPr>
      <w:spacing w:after="0" w:line="240" w:lineRule="auto"/>
    </w:pPr>
    <w:rPr>
      <w:rFonts w:ascii="Calibri" w:hAnsi="Calibri" w:cs="Calibri"/>
    </w:rPr>
  </w:style>
  <w:style w:type="paragraph" w:customStyle="1" w:styleId="cs7c1f8b9d">
    <w:name w:val="cs7c1f8b9d"/>
    <w:basedOn w:val="Normal"/>
    <w:rsid w:val="00E21046"/>
    <w:pPr>
      <w:spacing w:after="0" w:line="240" w:lineRule="auto"/>
      <w:jc w:val="right"/>
    </w:pPr>
    <w:rPr>
      <w:rFonts w:ascii="Calibri" w:hAnsi="Calibri" w:cs="Calibri"/>
    </w:rPr>
  </w:style>
  <w:style w:type="character" w:customStyle="1" w:styleId="csc8f6d761">
    <w:name w:val="csc8f6d761"/>
    <w:basedOn w:val="DefaultParagraphFont"/>
    <w:rsid w:val="00E21046"/>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Call Center</Value>
    </Training_x0020_Topic>
    <Document_x0020_Type xmlns="2f254586-b35f-4441-a040-f54e6e92090e">
      <Value>Desk Aid</Value>
    </Document_x0020_Type>
  </documentManagement>
</p:properties>
</file>

<file path=customXml/itemProps1.xml><?xml version="1.0" encoding="utf-8"?>
<ds:datastoreItem xmlns:ds="http://schemas.openxmlformats.org/officeDocument/2006/customXml" ds:itemID="{68A59B5A-B317-4C0C-A449-207EBFC830C1}"/>
</file>

<file path=customXml/itemProps2.xml><?xml version="1.0" encoding="utf-8"?>
<ds:datastoreItem xmlns:ds="http://schemas.openxmlformats.org/officeDocument/2006/customXml" ds:itemID="{17D7A281-30EF-496A-B2EB-99D41B56D5B0}"/>
</file>

<file path=customXml/itemProps3.xml><?xml version="1.0" encoding="utf-8"?>
<ds:datastoreItem xmlns:ds="http://schemas.openxmlformats.org/officeDocument/2006/customXml" ds:itemID="{8C630195-EEFD-46EB-B703-11F65351B8D5}"/>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McCalmont</dc:creator>
  <cp:keywords/>
  <dc:description/>
  <cp:lastModifiedBy>Alisa McCalmont</cp:lastModifiedBy>
  <cp:revision>2</cp:revision>
  <dcterms:created xsi:type="dcterms:W3CDTF">2021-12-08T00:19:00Z</dcterms:created>
  <dcterms:modified xsi:type="dcterms:W3CDTF">2021-12-08T00:21:00Z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