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C804" w14:textId="5994773B" w:rsidR="005044BA" w:rsidRPr="008D45B1" w:rsidRDefault="00815F69" w:rsidP="00805DFD">
      <w:pPr>
        <w:spacing w:line="240" w:lineRule="auto"/>
        <w:rPr>
          <w:rFonts w:cstheme="minorHAnsi"/>
          <w:b/>
        </w:rPr>
      </w:pPr>
      <w:bookmarkStart w:id="0" w:name="_GoBack"/>
      <w:bookmarkEnd w:id="0"/>
      <w:r w:rsidRPr="008A12E7">
        <w:rPr>
          <w:rFonts w:cstheme="minorHAnsi"/>
          <w:b/>
        </w:rPr>
        <w:t xml:space="preserve"> </w:t>
      </w:r>
      <w:r w:rsidR="00C1164C" w:rsidRPr="008D45B1">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5F3B686C" w14:textId="1C7E594C" w:rsidR="00DD4CEC" w:rsidRPr="008D45B1" w:rsidRDefault="00DD4CEC" w:rsidP="00DD4CEC">
      <w:pPr>
        <w:spacing w:line="240" w:lineRule="auto"/>
        <w:rPr>
          <w:rFonts w:cstheme="minorHAnsi"/>
          <w:b/>
        </w:rPr>
      </w:pPr>
      <w:r w:rsidRPr="008D45B1">
        <w:rPr>
          <w:rFonts w:cstheme="minorHAnsi"/>
          <w:b/>
        </w:rPr>
        <w:t xml:space="preserve">AGENT Reminders </w:t>
      </w:r>
      <w:r w:rsidR="00B7232A">
        <w:rPr>
          <w:rFonts w:cstheme="minorHAnsi"/>
          <w:b/>
        </w:rPr>
        <w:t xml:space="preserve">February </w:t>
      </w:r>
      <w:r w:rsidR="008E4F05">
        <w:rPr>
          <w:rFonts w:cstheme="minorHAnsi"/>
          <w:b/>
        </w:rPr>
        <w:t>23</w:t>
      </w:r>
      <w:r w:rsidR="00B7232A">
        <w:rPr>
          <w:rFonts w:cstheme="minorHAnsi"/>
          <w:b/>
        </w:rPr>
        <w:t>, 2023</w:t>
      </w:r>
    </w:p>
    <w:p w14:paraId="49F412D6" w14:textId="58B223B4" w:rsidR="001E0C33" w:rsidRPr="00BB4C15" w:rsidRDefault="00DD4CEC" w:rsidP="00BB4C15">
      <w:pPr>
        <w:spacing w:line="240" w:lineRule="auto"/>
        <w:rPr>
          <w:rFonts w:cstheme="minorHAnsi"/>
          <w:b/>
        </w:rPr>
      </w:pPr>
      <w:r w:rsidRPr="008D45B1">
        <w:rPr>
          <w:rFonts w:cstheme="minorHAnsi"/>
          <w:b/>
        </w:rPr>
        <w:tab/>
      </w:r>
      <w:r w:rsidRPr="008D45B1">
        <w:rPr>
          <w:rFonts w:cstheme="minorHAnsi"/>
          <w:b/>
        </w:rPr>
        <w:tab/>
      </w:r>
      <w:r w:rsidRPr="008D45B1">
        <w:rPr>
          <w:rFonts w:cstheme="minorHAnsi"/>
          <w:b/>
        </w:rPr>
        <w:tab/>
      </w:r>
      <w:r w:rsidRPr="008D45B1">
        <w:rPr>
          <w:rFonts w:cstheme="minorHAnsi"/>
          <w:b/>
        </w:rPr>
        <w:tab/>
      </w:r>
      <w:r w:rsidRPr="008D45B1">
        <w:rPr>
          <w:rFonts w:cstheme="minorHAnsi"/>
          <w:b/>
        </w:rPr>
        <w:tab/>
      </w:r>
    </w:p>
    <w:p w14:paraId="08866FE9" w14:textId="77777777" w:rsidR="00DD4CEC" w:rsidRPr="001C567A" w:rsidRDefault="00DD4CEC" w:rsidP="0025558C">
      <w:pPr>
        <w:pStyle w:val="ListParagraph"/>
        <w:ind w:left="0"/>
        <w:rPr>
          <w:rFonts w:asciiTheme="minorHAnsi" w:hAnsiTheme="minorHAnsi" w:cstheme="minorHAnsi"/>
          <w:b/>
          <w:bCs/>
          <w:color w:val="FF0000"/>
        </w:rPr>
      </w:pPr>
      <w:r w:rsidRPr="001C567A">
        <w:rPr>
          <w:rFonts w:asciiTheme="minorHAnsi" w:hAnsiTheme="minorHAnsi" w:cstheme="minorHAnsi"/>
          <w:b/>
          <w:bCs/>
          <w:color w:val="FF0000"/>
        </w:rPr>
        <w:t>General</w:t>
      </w:r>
    </w:p>
    <w:p w14:paraId="2FCF8704" w14:textId="1C60BB46" w:rsidR="003A28C3" w:rsidRPr="001C567A" w:rsidRDefault="00B7232A" w:rsidP="00B7232A">
      <w:pPr>
        <w:pStyle w:val="ListParagraph"/>
        <w:numPr>
          <w:ilvl w:val="0"/>
          <w:numId w:val="45"/>
        </w:numPr>
        <w:spacing w:line="252" w:lineRule="auto"/>
        <w:rPr>
          <w:rFonts w:asciiTheme="minorHAnsi" w:eastAsia="Times New Roman" w:hAnsiTheme="minorHAnsi" w:cstheme="minorHAnsi"/>
        </w:rPr>
      </w:pPr>
      <w:r w:rsidRPr="001C567A">
        <w:rPr>
          <w:rFonts w:asciiTheme="minorHAnsi" w:eastAsia="Times New Roman" w:hAnsiTheme="minorHAnsi" w:cstheme="minorHAnsi"/>
        </w:rPr>
        <w:t>When transferring a case to a different county, please don't delete the transfer in alert for the new county.</w:t>
      </w:r>
    </w:p>
    <w:p w14:paraId="45FD26A6" w14:textId="0E6DB848" w:rsidR="008F502A" w:rsidRPr="001C567A" w:rsidRDefault="008F502A" w:rsidP="00B7232A">
      <w:pPr>
        <w:pStyle w:val="ListParagraph"/>
        <w:numPr>
          <w:ilvl w:val="0"/>
          <w:numId w:val="45"/>
        </w:numPr>
        <w:spacing w:line="252" w:lineRule="auto"/>
        <w:rPr>
          <w:rFonts w:asciiTheme="minorHAnsi" w:eastAsia="Times New Roman" w:hAnsiTheme="minorHAnsi" w:cstheme="minorHAnsi"/>
        </w:rPr>
      </w:pPr>
      <w:r w:rsidRPr="001C567A">
        <w:rPr>
          <w:rFonts w:asciiTheme="minorHAnsi" w:eastAsia="Times New Roman" w:hAnsiTheme="minorHAnsi" w:cstheme="minorHAnsi"/>
        </w:rPr>
        <w:t>Do not add an authorized rep to a case until we have the proper paperwork on file.  Entering a ? on the page does not pend for the paperwork.</w:t>
      </w:r>
    </w:p>
    <w:p w14:paraId="0E4FA179" w14:textId="28A7831B" w:rsidR="00826A7E" w:rsidRPr="001C567A" w:rsidRDefault="00826A7E" w:rsidP="00826A7E">
      <w:pPr>
        <w:pStyle w:val="ListParagraph"/>
        <w:numPr>
          <w:ilvl w:val="0"/>
          <w:numId w:val="45"/>
        </w:numPr>
        <w:rPr>
          <w:rFonts w:asciiTheme="minorHAnsi" w:hAnsiTheme="minorHAnsi" w:cstheme="minorHAnsi"/>
          <w:u w:val="single"/>
        </w:rPr>
      </w:pPr>
      <w:r w:rsidRPr="001C567A">
        <w:rPr>
          <w:rFonts w:asciiTheme="minorHAnsi" w:hAnsiTheme="minorHAnsi" w:cstheme="minorHAnsi"/>
        </w:rPr>
        <w:t>When the Employment Query page comes up in driver flow, make sure to wait the 7 seconds for the match information to display.  New hires and wage matches are being missed because workers have not been waiting the full 7 seconds and are bypassing this page which can result in benefits being issued in error.</w:t>
      </w:r>
    </w:p>
    <w:p w14:paraId="7FC2A0A5" w14:textId="03030892" w:rsidR="0025558C" w:rsidRPr="001E37ED" w:rsidRDefault="0032278E" w:rsidP="0025558C">
      <w:pPr>
        <w:pStyle w:val="ListParagraph"/>
        <w:numPr>
          <w:ilvl w:val="0"/>
          <w:numId w:val="45"/>
        </w:numPr>
        <w:rPr>
          <w:rFonts w:asciiTheme="minorHAnsi" w:hAnsiTheme="minorHAnsi" w:cstheme="minorHAnsi"/>
          <w:u w:val="single"/>
        </w:rPr>
      </w:pPr>
      <w:r w:rsidRPr="001C567A">
        <w:rPr>
          <w:rFonts w:asciiTheme="minorHAnsi" w:hAnsiTheme="minorHAnsi" w:cstheme="minorHAnsi"/>
        </w:rPr>
        <w:lastRenderedPageBreak/>
        <w:t>If a first attempt has been made to complete a FoodShare interview and the customer did not answer and then calls SCC complete the interview, the SCC worker must complete the interview with the customer.  The SCC worker should NOT tell the customer that a second attempt will be made by the worker who made the first attempt.</w:t>
      </w:r>
    </w:p>
    <w:p w14:paraId="3C49F975" w14:textId="7CF3D53E" w:rsidR="001E37ED" w:rsidRPr="001C567A" w:rsidRDefault="001E37ED" w:rsidP="0025558C">
      <w:pPr>
        <w:pStyle w:val="ListParagraph"/>
        <w:numPr>
          <w:ilvl w:val="0"/>
          <w:numId w:val="45"/>
        </w:numPr>
        <w:rPr>
          <w:rFonts w:asciiTheme="minorHAnsi" w:hAnsiTheme="minorHAnsi" w:cstheme="minorHAnsi"/>
          <w:u w:val="single"/>
        </w:rPr>
      </w:pPr>
      <w:r>
        <w:rPr>
          <w:rFonts w:asciiTheme="minorHAnsi" w:hAnsiTheme="minorHAnsi" w:cstheme="minorHAnsi"/>
        </w:rPr>
        <w:t xml:space="preserve">If a customer reports a valid significant change to their self-employment income, the details of this change MUST be documented in case comments.  </w:t>
      </w:r>
    </w:p>
    <w:p w14:paraId="266C7FD0" w14:textId="3274D24B" w:rsidR="0025558C" w:rsidRPr="001C567A" w:rsidRDefault="0025558C" w:rsidP="0025558C">
      <w:pPr>
        <w:rPr>
          <w:rFonts w:cstheme="minorHAnsi"/>
          <w:b/>
          <w:bCs/>
          <w:color w:val="FF0000"/>
        </w:rPr>
      </w:pPr>
      <w:r w:rsidRPr="001C567A">
        <w:rPr>
          <w:rFonts w:cstheme="minorHAnsi"/>
          <w:b/>
          <w:bCs/>
          <w:color w:val="FF0000"/>
        </w:rPr>
        <w:t>FoodShare</w:t>
      </w:r>
    </w:p>
    <w:p w14:paraId="1633CDC2" w14:textId="18666C25" w:rsidR="0025558C" w:rsidRPr="001C567A" w:rsidRDefault="0025558C" w:rsidP="0025558C">
      <w:pPr>
        <w:pStyle w:val="PlainText"/>
        <w:numPr>
          <w:ilvl w:val="0"/>
          <w:numId w:val="45"/>
        </w:numPr>
        <w:rPr>
          <w:rFonts w:asciiTheme="minorHAnsi" w:hAnsiTheme="minorHAnsi" w:cstheme="minorHAnsi"/>
          <w:szCs w:val="22"/>
        </w:rPr>
      </w:pPr>
      <w:r w:rsidRPr="001C567A">
        <w:rPr>
          <w:rFonts w:asciiTheme="minorHAnsi" w:hAnsiTheme="minorHAnsi" w:cstheme="minorHAnsi"/>
          <w:szCs w:val="22"/>
        </w:rPr>
        <w:t xml:space="preserve">If a renewal is not processed until the last day of the month, two attempts must be made.  If you cannot reach a customer, you would mark No Interview and deny the case.  A new application is required if the customer does not complete the interview in the review month.  </w:t>
      </w:r>
    </w:p>
    <w:p w14:paraId="691DFA29" w14:textId="77777777" w:rsidR="0004330F" w:rsidRPr="001C567A" w:rsidRDefault="0004330F" w:rsidP="0004330F">
      <w:pPr>
        <w:pStyle w:val="NormalWeb"/>
        <w:numPr>
          <w:ilvl w:val="0"/>
          <w:numId w:val="45"/>
        </w:numPr>
        <w:shd w:val="clear" w:color="auto" w:fill="FFFFFF"/>
        <w:rPr>
          <w:rFonts w:asciiTheme="minorHAnsi" w:hAnsiTheme="minorHAnsi" w:cstheme="minorHAnsi"/>
          <w:sz w:val="22"/>
          <w:szCs w:val="22"/>
        </w:rPr>
      </w:pPr>
      <w:r w:rsidRPr="001C567A">
        <w:rPr>
          <w:rFonts w:asciiTheme="minorHAnsi" w:hAnsiTheme="minorHAnsi" w:cstheme="minorHAnsi"/>
          <w:sz w:val="22"/>
          <w:szCs w:val="22"/>
        </w:rPr>
        <w:lastRenderedPageBreak/>
        <w:t>Workers must make at least two attempts to contact the household to complete the interview. See </w:t>
      </w:r>
      <w:hyperlink r:id="rId12" w:tgtFrame="_blank" w:history="1">
        <w:r w:rsidRPr="001C567A">
          <w:rPr>
            <w:rStyle w:val="Hyperlink"/>
            <w:rFonts w:asciiTheme="minorHAnsi" w:hAnsiTheme="minorHAnsi" w:cstheme="minorHAnsi"/>
            <w:color w:val="auto"/>
            <w:sz w:val="22"/>
            <w:szCs w:val="22"/>
          </w:rPr>
          <w:t>FoodShare Wisconsin Handbook 2.1.3</w:t>
        </w:r>
      </w:hyperlink>
      <w:r w:rsidRPr="001C567A">
        <w:rPr>
          <w:rFonts w:asciiTheme="minorHAnsi" w:hAnsiTheme="minorHAnsi" w:cstheme="minorHAnsi"/>
          <w:sz w:val="22"/>
          <w:szCs w:val="22"/>
        </w:rPr>
        <w:t> for policy.</w:t>
      </w:r>
    </w:p>
    <w:p w14:paraId="591B2660" w14:textId="335EFDC4" w:rsidR="002D6F7A" w:rsidRDefault="0004330F" w:rsidP="002D6F7A">
      <w:pPr>
        <w:pStyle w:val="NormalWeb"/>
        <w:shd w:val="clear" w:color="auto" w:fill="FFFFFF"/>
        <w:ind w:left="1080"/>
        <w:rPr>
          <w:rFonts w:asciiTheme="minorHAnsi" w:hAnsiTheme="minorHAnsi" w:cstheme="minorHAnsi"/>
          <w:sz w:val="22"/>
          <w:szCs w:val="22"/>
        </w:rPr>
      </w:pPr>
      <w:r w:rsidRPr="001C567A">
        <w:rPr>
          <w:rFonts w:asciiTheme="minorHAnsi" w:hAnsiTheme="minorHAnsi" w:cstheme="minorHAnsi"/>
          <w:sz w:val="22"/>
          <w:szCs w:val="22"/>
        </w:rPr>
        <w:t xml:space="preserve">Workers must record both successful and unsuccessful contact attempts for all FoodShare requests using the </w:t>
      </w:r>
      <w:r w:rsidRPr="001C567A">
        <w:rPr>
          <w:rFonts w:asciiTheme="minorHAnsi" w:hAnsiTheme="minorHAnsi" w:cstheme="minorHAnsi"/>
          <w:sz w:val="22"/>
          <w:szCs w:val="22"/>
          <w:highlight w:val="yellow"/>
        </w:rPr>
        <w:t>FS Contact Attempts panel,</w:t>
      </w:r>
      <w:r w:rsidRPr="001C567A">
        <w:rPr>
          <w:rFonts w:asciiTheme="minorHAnsi" w:hAnsiTheme="minorHAnsi" w:cstheme="minorHAnsi"/>
          <w:sz w:val="22"/>
          <w:szCs w:val="22"/>
        </w:rPr>
        <w:t xml:space="preserve"> which is available on the RFA Comments, Case Comments, and Interview Details pages.  </w:t>
      </w:r>
    </w:p>
    <w:p w14:paraId="4408B98B" w14:textId="77777777" w:rsidR="002D6F7A" w:rsidRPr="002D6F7A" w:rsidRDefault="002D6F7A" w:rsidP="002D6F7A">
      <w:pPr>
        <w:pStyle w:val="ListParagraph"/>
        <w:numPr>
          <w:ilvl w:val="0"/>
          <w:numId w:val="45"/>
        </w:numPr>
        <w:shd w:val="clear" w:color="auto" w:fill="FFFFFF"/>
        <w:spacing w:before="190" w:after="190"/>
        <w:rPr>
          <w:rFonts w:asciiTheme="minorHAnsi" w:hAnsiTheme="minorHAnsi" w:cstheme="minorHAnsi"/>
          <w:b/>
          <w:bCs/>
        </w:rPr>
      </w:pPr>
      <w:r w:rsidRPr="002D6F7A">
        <w:rPr>
          <w:rFonts w:asciiTheme="minorHAnsi" w:hAnsiTheme="minorHAnsi" w:cstheme="minorHAnsi"/>
        </w:rPr>
        <w:t>Per FSHB</w:t>
      </w:r>
      <w:r>
        <w:rPr>
          <w:rFonts w:asciiTheme="minorHAnsi" w:hAnsiTheme="minorHAnsi" w:cstheme="minorHAnsi"/>
        </w:rPr>
        <w:t xml:space="preserve"> 5.4.4.3</w:t>
      </w:r>
      <w:r w:rsidRPr="002D6F7A">
        <w:rPr>
          <w:rFonts w:asciiTheme="minorHAnsi" w:hAnsiTheme="minorHAnsi" w:cstheme="minorHAnsi"/>
        </w:rPr>
        <w:t> Food Units: Primary Person Deceased with Surviving Members:</w:t>
      </w:r>
    </w:p>
    <w:p w14:paraId="72E6ED7D" w14:textId="77777777" w:rsidR="002D6F7A" w:rsidRPr="002D6F7A" w:rsidRDefault="002D6F7A" w:rsidP="002D6F7A">
      <w:pPr>
        <w:pStyle w:val="ListParagraph"/>
        <w:numPr>
          <w:ilvl w:val="1"/>
          <w:numId w:val="45"/>
        </w:numPr>
        <w:shd w:val="clear" w:color="auto" w:fill="FFFFFF"/>
        <w:spacing w:before="190" w:after="190"/>
        <w:rPr>
          <w:rFonts w:asciiTheme="minorHAnsi" w:hAnsiTheme="minorHAnsi" w:cstheme="minorHAnsi"/>
          <w:b/>
          <w:bCs/>
        </w:rPr>
      </w:pPr>
      <w:r w:rsidRPr="002D6F7A">
        <w:rPr>
          <w:rFonts w:eastAsia="Times New Roman" w:cstheme="minorHAnsi"/>
        </w:rPr>
        <w:t>A Notice of Decision is sent to the household notifying them that the case is closing and that they must reapply. </w:t>
      </w:r>
    </w:p>
    <w:p w14:paraId="10124577" w14:textId="77777777" w:rsidR="002D6F7A" w:rsidRPr="002D6F7A" w:rsidRDefault="002D6F7A" w:rsidP="002D6F7A">
      <w:pPr>
        <w:pStyle w:val="ListParagraph"/>
        <w:numPr>
          <w:ilvl w:val="1"/>
          <w:numId w:val="45"/>
        </w:numPr>
        <w:shd w:val="clear" w:color="auto" w:fill="FFFFFF"/>
        <w:spacing w:before="190" w:after="190"/>
        <w:rPr>
          <w:rFonts w:asciiTheme="minorHAnsi" w:hAnsiTheme="minorHAnsi" w:cstheme="minorHAnsi"/>
          <w:b/>
          <w:bCs/>
        </w:rPr>
      </w:pPr>
      <w:r w:rsidRPr="002D6F7A">
        <w:rPr>
          <w:rFonts w:eastAsia="Times New Roman" w:cstheme="minorHAnsi"/>
          <w:highlight w:val="yellow"/>
        </w:rPr>
        <w:t>The QUEST card remains active and benefits remain available to the household. </w:t>
      </w:r>
    </w:p>
    <w:p w14:paraId="2C4F98AA" w14:textId="370530F6" w:rsidR="0004330F" w:rsidRPr="00AC70F9" w:rsidRDefault="002D6F7A" w:rsidP="002D6F7A">
      <w:pPr>
        <w:pStyle w:val="ListParagraph"/>
        <w:numPr>
          <w:ilvl w:val="1"/>
          <w:numId w:val="45"/>
        </w:numPr>
        <w:shd w:val="clear" w:color="auto" w:fill="FFFFFF"/>
        <w:spacing w:before="190" w:after="190"/>
        <w:rPr>
          <w:rFonts w:asciiTheme="minorHAnsi" w:hAnsiTheme="minorHAnsi" w:cstheme="minorHAnsi"/>
          <w:b/>
          <w:bCs/>
        </w:rPr>
      </w:pPr>
      <w:r w:rsidRPr="002D6F7A">
        <w:rPr>
          <w:rFonts w:eastAsia="Times New Roman" w:cstheme="minorHAnsi"/>
        </w:rPr>
        <w:t>No information is sent to FIS.</w:t>
      </w:r>
    </w:p>
    <w:p w14:paraId="0B94CBC4" w14:textId="3E556168" w:rsidR="00AC70F9" w:rsidRPr="00AC70F9" w:rsidRDefault="00AC70F9" w:rsidP="00AC70F9">
      <w:pPr>
        <w:numPr>
          <w:ilvl w:val="0"/>
          <w:numId w:val="45"/>
        </w:numPr>
        <w:spacing w:after="0" w:line="240" w:lineRule="auto"/>
        <w:rPr>
          <w:rFonts w:ascii="Calibri" w:eastAsia="Times New Roman" w:hAnsi="Calibri" w:cs="Calibri"/>
        </w:rPr>
      </w:pPr>
      <w:r w:rsidRPr="00AC70F9">
        <w:rPr>
          <w:rFonts w:ascii="Calibri" w:eastAsia="Times New Roman" w:hAnsi="Calibri" w:cs="Calibri"/>
        </w:rPr>
        <w:t xml:space="preserve">When an individual is homeless and uses a mailing address, QUEST frequently does not deliver the cards.  It </w:t>
      </w:r>
      <w:r w:rsidRPr="00AC70F9">
        <w:rPr>
          <w:rFonts w:ascii="Calibri" w:eastAsia="Times New Roman" w:hAnsi="Calibri" w:cs="Calibri"/>
        </w:rPr>
        <w:lastRenderedPageBreak/>
        <w:t xml:space="preserve">is recommended to use the agency address for homeless mail to avoid delivery issues with permanent cards.  </w:t>
      </w:r>
    </w:p>
    <w:p w14:paraId="7C329C36" w14:textId="77777777" w:rsidR="00AC70F9" w:rsidRPr="00AC70F9" w:rsidRDefault="00AC70F9" w:rsidP="00AC70F9">
      <w:pPr>
        <w:numPr>
          <w:ilvl w:val="0"/>
          <w:numId w:val="49"/>
        </w:numPr>
        <w:spacing w:after="0" w:line="240" w:lineRule="auto"/>
        <w:rPr>
          <w:rFonts w:ascii="Calibri" w:eastAsia="Times New Roman" w:hAnsi="Calibri" w:cs="Calibri"/>
        </w:rPr>
      </w:pPr>
      <w:r w:rsidRPr="00AC70F9">
        <w:rPr>
          <w:rFonts w:ascii="Calibri" w:eastAsia="Times New Roman" w:hAnsi="Calibri" w:cs="Calibri"/>
        </w:rPr>
        <w:t xml:space="preserve">Do not complete workarounds or update the Priority Service Eligibility page after completing the screen on the initial intake.  There is no longer a need to do a “workaround” on this page.  Updating this page after the initial intake causes it to see it as priority service from the initial date of the application. When confirmed, this will show on our untimely report.  </w:t>
      </w:r>
    </w:p>
    <w:p w14:paraId="3C9FBAAE" w14:textId="77777777" w:rsidR="00AC70F9" w:rsidRPr="00AC70F9" w:rsidRDefault="00AC70F9" w:rsidP="00AC70F9">
      <w:pPr>
        <w:spacing w:after="0" w:line="240" w:lineRule="auto"/>
        <w:rPr>
          <w:rFonts w:ascii="Calibri" w:eastAsia="Times New Roman" w:hAnsi="Calibri" w:cs="Calibri"/>
        </w:rPr>
      </w:pPr>
    </w:p>
    <w:p w14:paraId="15B910BD" w14:textId="77777777" w:rsidR="00AC70F9" w:rsidRDefault="00AC70F9" w:rsidP="00AC70F9">
      <w:pPr>
        <w:shd w:val="clear" w:color="auto" w:fill="FFFFFF"/>
        <w:spacing w:before="190" w:after="190"/>
        <w:rPr>
          <w:rFonts w:cstheme="minorHAnsi"/>
          <w:b/>
          <w:bCs/>
        </w:rPr>
      </w:pPr>
    </w:p>
    <w:p w14:paraId="2E934A26" w14:textId="77777777" w:rsidR="00AC70F9" w:rsidRDefault="00AC70F9" w:rsidP="00AC70F9">
      <w:pPr>
        <w:shd w:val="clear" w:color="auto" w:fill="FFFFFF"/>
        <w:spacing w:before="190" w:after="190"/>
        <w:rPr>
          <w:rFonts w:cstheme="minorHAnsi"/>
          <w:b/>
          <w:bCs/>
        </w:rPr>
      </w:pPr>
    </w:p>
    <w:p w14:paraId="63905571" w14:textId="77777777" w:rsidR="00AC70F9" w:rsidRPr="00AC70F9" w:rsidRDefault="00AC70F9" w:rsidP="00AC70F9">
      <w:pPr>
        <w:shd w:val="clear" w:color="auto" w:fill="FFFFFF"/>
        <w:spacing w:before="190" w:after="190"/>
        <w:rPr>
          <w:rFonts w:cstheme="minorHAnsi"/>
          <w:b/>
          <w:bCs/>
        </w:rPr>
      </w:pPr>
    </w:p>
    <w:p w14:paraId="0992315D" w14:textId="3CC157E0" w:rsidR="0025558C" w:rsidRPr="001C567A" w:rsidRDefault="001C567A" w:rsidP="001C567A">
      <w:pPr>
        <w:rPr>
          <w:rStyle w:val="Hyperlink"/>
          <w:rFonts w:cstheme="minorHAnsi"/>
          <w:color w:val="auto"/>
          <w:u w:val="none"/>
        </w:rPr>
      </w:pPr>
      <w:r w:rsidRPr="001C567A">
        <w:rPr>
          <w:rStyle w:val="Hyperlink"/>
          <w:rFonts w:cstheme="minorHAnsi"/>
          <w:b/>
          <w:bCs/>
          <w:color w:val="FF0000"/>
          <w:u w:val="none"/>
        </w:rPr>
        <w:t>HealthCare</w:t>
      </w:r>
    </w:p>
    <w:p w14:paraId="6054FF05" w14:textId="1084A1D1" w:rsidR="001C567A" w:rsidRDefault="001C567A" w:rsidP="001C567A">
      <w:pPr>
        <w:pStyle w:val="ListParagraph"/>
        <w:numPr>
          <w:ilvl w:val="0"/>
          <w:numId w:val="46"/>
        </w:numPr>
        <w:rPr>
          <w:rStyle w:val="Hyperlink"/>
          <w:rFonts w:asciiTheme="minorHAnsi" w:hAnsiTheme="minorHAnsi" w:cstheme="minorHAnsi"/>
          <w:color w:val="auto"/>
          <w:u w:val="none"/>
        </w:rPr>
      </w:pPr>
      <w:r w:rsidRPr="001C567A">
        <w:rPr>
          <w:rStyle w:val="Hyperlink"/>
          <w:rFonts w:asciiTheme="minorHAnsi" w:hAnsiTheme="minorHAnsi" w:cstheme="minorHAnsi"/>
          <w:color w:val="auto"/>
          <w:u w:val="none"/>
        </w:rPr>
        <w:t>Plea</w:t>
      </w:r>
      <w:r>
        <w:rPr>
          <w:rStyle w:val="Hyperlink"/>
          <w:rFonts w:asciiTheme="minorHAnsi" w:hAnsiTheme="minorHAnsi" w:cstheme="minorHAnsi"/>
          <w:color w:val="auto"/>
          <w:u w:val="none"/>
        </w:rPr>
        <w:t>s</w:t>
      </w:r>
      <w:r w:rsidRPr="001C567A">
        <w:rPr>
          <w:rStyle w:val="Hyperlink"/>
          <w:rFonts w:asciiTheme="minorHAnsi" w:hAnsiTheme="minorHAnsi" w:cstheme="minorHAnsi"/>
          <w:color w:val="auto"/>
          <w:u w:val="none"/>
        </w:rPr>
        <w:t xml:space="preserve">e remember to ask customers at application if they would like a backdate.  If a backdate is requested, be </w:t>
      </w:r>
      <w:r w:rsidRPr="001C567A">
        <w:rPr>
          <w:rStyle w:val="Hyperlink"/>
          <w:rFonts w:asciiTheme="minorHAnsi" w:hAnsiTheme="minorHAnsi" w:cstheme="minorHAnsi"/>
          <w:color w:val="auto"/>
          <w:u w:val="none"/>
        </w:rPr>
        <w:lastRenderedPageBreak/>
        <w:t>sure to update the HealthCare request page with this information so that the correct VCL can be generated.</w:t>
      </w:r>
    </w:p>
    <w:p w14:paraId="448A007F" w14:textId="77777777" w:rsidR="00AC70F9" w:rsidRPr="00AC70F9" w:rsidRDefault="00AC70F9" w:rsidP="00AC70F9">
      <w:pPr>
        <w:numPr>
          <w:ilvl w:val="0"/>
          <w:numId w:val="46"/>
        </w:numPr>
        <w:spacing w:after="0" w:line="240" w:lineRule="auto"/>
        <w:rPr>
          <w:rFonts w:ascii="Calibri" w:eastAsia="Times New Roman" w:hAnsi="Calibri" w:cs="Calibri"/>
        </w:rPr>
      </w:pPr>
      <w:r w:rsidRPr="00AC70F9">
        <w:rPr>
          <w:rFonts w:ascii="Calibri" w:eastAsia="Times New Roman" w:hAnsi="Calibri" w:cs="Calibri"/>
        </w:rPr>
        <w:t xml:space="preserve">If individuals are considered eligible under BadgerCare Plus and EBD Medicaid, they are required to enroll in coverage under EBD MA programs (BCP 49.1).  The only exception is pregnant women. The system automatically chooses the best program of eligibility based on the coverages they are eligible for.  Do not update or select BCP to force that eligibility to open over EBD MA programs.  </w:t>
      </w:r>
    </w:p>
    <w:p w14:paraId="7D41D8AE" w14:textId="77777777" w:rsidR="00AC70F9" w:rsidRPr="00AC70F9" w:rsidRDefault="00AC70F9" w:rsidP="00AC70F9">
      <w:pPr>
        <w:spacing w:after="0" w:line="240" w:lineRule="auto"/>
        <w:rPr>
          <w:rFonts w:ascii="Calibri" w:eastAsia="Times New Roman" w:hAnsi="Calibri" w:cs="Calibri"/>
        </w:rPr>
      </w:pPr>
    </w:p>
    <w:p w14:paraId="332AAE63" w14:textId="77777777" w:rsidR="00AC70F9" w:rsidRPr="001C567A" w:rsidRDefault="00AC70F9" w:rsidP="00AC70F9">
      <w:pPr>
        <w:pStyle w:val="ListParagraph"/>
        <w:rPr>
          <w:rStyle w:val="Hyperlink"/>
          <w:rFonts w:asciiTheme="minorHAnsi" w:hAnsiTheme="minorHAnsi" w:cstheme="minorHAnsi"/>
          <w:color w:val="auto"/>
          <w:u w:val="none"/>
        </w:rPr>
      </w:pPr>
    </w:p>
    <w:p w14:paraId="22436392" w14:textId="77777777" w:rsidR="00826A7E" w:rsidRPr="00B7232A" w:rsidRDefault="00826A7E" w:rsidP="00826A7E">
      <w:pPr>
        <w:pStyle w:val="ListParagraph"/>
        <w:spacing w:line="252" w:lineRule="auto"/>
        <w:ind w:left="1080"/>
        <w:rPr>
          <w:rFonts w:eastAsia="Times New Roman" w:cs="Calibri"/>
        </w:rPr>
      </w:pPr>
    </w:p>
    <w:p w14:paraId="28F87FF2" w14:textId="77777777" w:rsidR="003A28C3" w:rsidRPr="008D45B1" w:rsidRDefault="003A28C3" w:rsidP="003A28C3">
      <w:pPr>
        <w:pStyle w:val="ListParagraph"/>
        <w:spacing w:after="0" w:line="240" w:lineRule="auto"/>
        <w:ind w:left="1440"/>
        <w:rPr>
          <w:rFonts w:asciiTheme="minorHAnsi" w:hAnsiTheme="minorHAnsi" w:cstheme="minorHAnsi"/>
          <w:color w:val="000000"/>
        </w:rPr>
      </w:pPr>
    </w:p>
    <w:p w14:paraId="6FB6C12E" w14:textId="77777777" w:rsidR="00DD4CEC" w:rsidRPr="008D45B1" w:rsidRDefault="00DD4CEC" w:rsidP="00DD4CEC">
      <w:pPr>
        <w:pStyle w:val="ListParagraph"/>
        <w:rPr>
          <w:rFonts w:asciiTheme="minorHAnsi" w:hAnsiTheme="minorHAnsi" w:cstheme="minorHAnsi"/>
        </w:rPr>
      </w:pPr>
    </w:p>
    <w:p w14:paraId="339C62D7" w14:textId="15650347" w:rsidR="00711498" w:rsidRPr="00711498" w:rsidRDefault="00711498" w:rsidP="00DD4CEC">
      <w:pPr>
        <w:spacing w:line="240" w:lineRule="auto"/>
        <w:rPr>
          <w:rFonts w:cstheme="minorHAnsi"/>
        </w:rPr>
      </w:pPr>
    </w:p>
    <w:sectPr w:rsidR="00711498" w:rsidRPr="00711498"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B60EA9"/>
    <w:multiLevelType w:val="hybridMultilevel"/>
    <w:tmpl w:val="82E4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883FFC"/>
    <w:multiLevelType w:val="hybridMultilevel"/>
    <w:tmpl w:val="EAD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E0F30"/>
    <w:multiLevelType w:val="hybridMultilevel"/>
    <w:tmpl w:val="FEDE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6DA"/>
    <w:multiLevelType w:val="hybridMultilevel"/>
    <w:tmpl w:val="01CA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D00EB"/>
    <w:multiLevelType w:val="hybridMultilevel"/>
    <w:tmpl w:val="491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00CCB"/>
    <w:multiLevelType w:val="hybridMultilevel"/>
    <w:tmpl w:val="D5F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8353C9"/>
    <w:multiLevelType w:val="hybridMultilevel"/>
    <w:tmpl w:val="15FA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22F3CC4"/>
    <w:multiLevelType w:val="hybridMultilevel"/>
    <w:tmpl w:val="FC94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70EE7"/>
    <w:multiLevelType w:val="hybridMultilevel"/>
    <w:tmpl w:val="C00A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9D288B"/>
    <w:multiLevelType w:val="hybridMultilevel"/>
    <w:tmpl w:val="39A28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31741"/>
    <w:multiLevelType w:val="multilevel"/>
    <w:tmpl w:val="99DADEE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0" w15:restartNumberingAfterBreak="0">
    <w:nsid w:val="55F85CED"/>
    <w:multiLevelType w:val="hybridMultilevel"/>
    <w:tmpl w:val="3D9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808F9"/>
    <w:multiLevelType w:val="hybridMultilevel"/>
    <w:tmpl w:val="E08AA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F645157"/>
    <w:multiLevelType w:val="hybridMultilevel"/>
    <w:tmpl w:val="806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B6963"/>
    <w:multiLevelType w:val="hybridMultilevel"/>
    <w:tmpl w:val="915E3E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93E56"/>
    <w:multiLevelType w:val="hybridMultilevel"/>
    <w:tmpl w:val="6AB8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D2874A2"/>
    <w:multiLevelType w:val="hybridMultilevel"/>
    <w:tmpl w:val="B27A83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2C76C5"/>
    <w:multiLevelType w:val="hybridMultilevel"/>
    <w:tmpl w:val="ADD8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D80C55"/>
    <w:multiLevelType w:val="hybridMultilevel"/>
    <w:tmpl w:val="70A6E9B6"/>
    <w:lvl w:ilvl="0" w:tplc="6D3E82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45"/>
  </w:num>
  <w:num w:numId="3">
    <w:abstractNumId w:val="32"/>
  </w:num>
  <w:num w:numId="4">
    <w:abstractNumId w:val="24"/>
  </w:num>
  <w:num w:numId="5">
    <w:abstractNumId w:val="3"/>
  </w:num>
  <w:num w:numId="6">
    <w:abstractNumId w:val="44"/>
  </w:num>
  <w:num w:numId="7">
    <w:abstractNumId w:val="25"/>
  </w:num>
  <w:num w:numId="8">
    <w:abstractNumId w:val="3"/>
  </w:num>
  <w:num w:numId="9">
    <w:abstractNumId w:val="6"/>
  </w:num>
  <w:num w:numId="10">
    <w:abstractNumId w:val="10"/>
  </w:num>
  <w:num w:numId="11">
    <w:abstractNumId w:val="4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2"/>
  </w:num>
  <w:num w:numId="16">
    <w:abstractNumId w:val="35"/>
  </w:num>
  <w:num w:numId="17">
    <w:abstractNumId w:val="11"/>
  </w:num>
  <w:num w:numId="18">
    <w:abstractNumId w:val="36"/>
  </w:num>
  <w:num w:numId="19">
    <w:abstractNumId w:val="21"/>
  </w:num>
  <w:num w:numId="20">
    <w:abstractNumId w:val="23"/>
  </w:num>
  <w:num w:numId="21">
    <w:abstractNumId w:val="20"/>
  </w:num>
  <w:num w:numId="22">
    <w:abstractNumId w:val="40"/>
  </w:num>
  <w:num w:numId="23">
    <w:abstractNumId w:val="1"/>
  </w:num>
  <w:num w:numId="24">
    <w:abstractNumId w:val="3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12"/>
  </w:num>
  <w:num w:numId="29">
    <w:abstractNumId w:val="5"/>
  </w:num>
  <w:num w:numId="30">
    <w:abstractNumId w:val="0"/>
  </w:num>
  <w:num w:numId="31">
    <w:abstractNumId w:val="37"/>
  </w:num>
  <w:num w:numId="32">
    <w:abstractNumId w:val="37"/>
  </w:num>
  <w:num w:numId="33">
    <w:abstractNumId w:val="43"/>
  </w:num>
  <w:num w:numId="34">
    <w:abstractNumId w:val="2"/>
  </w:num>
  <w:num w:numId="35">
    <w:abstractNumId w:val="7"/>
  </w:num>
  <w:num w:numId="36">
    <w:abstractNumId w:val="19"/>
  </w:num>
  <w:num w:numId="37">
    <w:abstractNumId w:val="18"/>
  </w:num>
  <w:num w:numId="38">
    <w:abstractNumId w:val="30"/>
  </w:num>
  <w:num w:numId="39">
    <w:abstractNumId w:val="33"/>
  </w:num>
  <w:num w:numId="40">
    <w:abstractNumId w:val="8"/>
  </w:num>
  <w:num w:numId="41">
    <w:abstractNumId w:val="4"/>
  </w:num>
  <w:num w:numId="42">
    <w:abstractNumId w:val="14"/>
  </w:num>
  <w:num w:numId="43">
    <w:abstractNumId w:val="41"/>
  </w:num>
  <w:num w:numId="44">
    <w:abstractNumId w:val="26"/>
  </w:num>
  <w:num w:numId="45">
    <w:abstractNumId w:val="39"/>
  </w:num>
  <w:num w:numId="46">
    <w:abstractNumId w:val="9"/>
  </w:num>
  <w:num w:numId="47">
    <w:abstractNumId w:val="27"/>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1177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8D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49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4ADC"/>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6A7E"/>
    <w:rsid w:val="00827E30"/>
    <w:rsid w:val="00833D53"/>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502A"/>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232A"/>
    <w:rsid w:val="00B76DA6"/>
    <w:rsid w:val="00B7730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4CEC"/>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3BC"/>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01"/>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handbooks.wisconsin.gov/fsh/policy_files/2/21/2-1-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2.xml><?xml version="1.0" encoding="utf-8"?>
<ds:datastoreItem xmlns:ds="http://schemas.openxmlformats.org/officeDocument/2006/customXml" ds:itemID="{E313DD23-3427-4423-B44F-03A764B83F5B}">
  <ds:schemaRefs>
    <ds:schemaRef ds:uri="2f254586-b35f-4441-a040-f54e6e9209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F5B9F-68A0-442E-A316-0D9E464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2</cp:revision>
  <dcterms:created xsi:type="dcterms:W3CDTF">2023-02-22T18:00:00Z</dcterms:created>
  <dcterms:modified xsi:type="dcterms:W3CDTF">2023-02-22T18:00:00Z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