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48E1E" w14:textId="77777777" w:rsidR="00217546" w:rsidRPr="001B4569" w:rsidRDefault="00B22B23" w:rsidP="00B22B23">
      <w:pPr>
        <w:spacing w:line="259" w:lineRule="auto"/>
        <w:rPr>
          <w:rFonts w:ascii="Arial" w:hAnsi="Arial" w:cs="Arial"/>
          <w:b/>
          <w:bCs/>
        </w:rPr>
      </w:pPr>
      <w:r w:rsidRPr="001B4569">
        <w:rPr>
          <w:rFonts w:ascii="Arial" w:hAnsi="Arial" w:cs="Arial"/>
          <w:b/>
          <w:bCs/>
          <w:u w:val="single"/>
        </w:rPr>
        <w:t>BadgerCare Plus Release 22-02</w:t>
      </w:r>
      <w:r w:rsidRPr="001B4569">
        <w:rPr>
          <w:rFonts w:ascii="Arial" w:hAnsi="Arial" w:cs="Arial"/>
          <w:b/>
          <w:bCs/>
        </w:rPr>
        <w:t xml:space="preserve"> </w:t>
      </w:r>
    </w:p>
    <w:p w14:paraId="32C51A64" w14:textId="3FE2DC27" w:rsidR="00B22B23" w:rsidRPr="001B4569" w:rsidRDefault="00B22B23" w:rsidP="00B22B23">
      <w:pPr>
        <w:spacing w:line="259" w:lineRule="auto"/>
        <w:rPr>
          <w:rFonts w:ascii="Arial" w:hAnsi="Arial" w:cs="Arial"/>
          <w:bCs/>
        </w:rPr>
      </w:pPr>
      <w:r w:rsidRPr="001B4569">
        <w:rPr>
          <w:rFonts w:ascii="Arial" w:hAnsi="Arial" w:cs="Arial"/>
          <w:b/>
          <w:bCs/>
        </w:rPr>
        <w:t>Presented</w:t>
      </w:r>
      <w:r w:rsidRPr="001B4569">
        <w:rPr>
          <w:rFonts w:ascii="Arial" w:hAnsi="Arial" w:cs="Arial"/>
          <w:bCs/>
        </w:rPr>
        <w:t xml:space="preserve"> By: Erin Heiman</w:t>
      </w:r>
    </w:p>
    <w:p w14:paraId="4E9239EE" w14:textId="1F11A7A4" w:rsidR="00B22B23" w:rsidRPr="001B4569" w:rsidRDefault="00B22B23" w:rsidP="00B22B23">
      <w:pPr>
        <w:spacing w:line="259" w:lineRule="auto"/>
        <w:rPr>
          <w:rFonts w:ascii="Arial" w:hAnsi="Arial" w:cs="Arial"/>
          <w:b/>
          <w:bCs/>
        </w:rPr>
      </w:pPr>
      <w:r w:rsidRPr="001B4569">
        <w:rPr>
          <w:rFonts w:ascii="Arial" w:hAnsi="Arial" w:cs="Arial"/>
          <w:b/>
          <w:bCs/>
        </w:rPr>
        <w:t xml:space="preserve">Release/Effective Date: </w:t>
      </w:r>
      <w:r w:rsidR="00217546" w:rsidRPr="001B4569">
        <w:rPr>
          <w:rFonts w:ascii="Arial" w:hAnsi="Arial" w:cs="Arial"/>
          <w:b/>
          <w:bCs/>
        </w:rPr>
        <w:t>08/01/2022</w:t>
      </w:r>
    </w:p>
    <w:p w14:paraId="168A4DBE" w14:textId="77777777" w:rsidR="00217546" w:rsidRPr="001B4569" w:rsidRDefault="00217546" w:rsidP="00217546">
      <w:pPr>
        <w:pStyle w:val="NoSpacing"/>
        <w:rPr>
          <w:rFonts w:ascii="Arial" w:hAnsi="Arial" w:cs="Arial"/>
          <w:b/>
          <w:bCs/>
        </w:rPr>
      </w:pPr>
      <w:r w:rsidRPr="001B4569">
        <w:rPr>
          <w:rFonts w:ascii="Arial" w:hAnsi="Arial" w:cs="Arial"/>
          <w:b/>
          <w:bCs/>
        </w:rPr>
        <w:t>7.7 Health Insurance Premium Payment</w:t>
      </w:r>
    </w:p>
    <w:p w14:paraId="570685EB" w14:textId="77777777" w:rsidR="00217546" w:rsidRPr="001B4569" w:rsidRDefault="00217546" w:rsidP="00217546">
      <w:pPr>
        <w:pStyle w:val="NoSpacing"/>
        <w:rPr>
          <w:rFonts w:ascii="Arial" w:hAnsi="Arial" w:cs="Arial"/>
          <w:color w:val="FF0000"/>
          <w:sz w:val="20"/>
          <w:szCs w:val="20"/>
        </w:rPr>
      </w:pPr>
      <w:r w:rsidRPr="001B4569">
        <w:rPr>
          <w:rFonts w:ascii="Arial" w:hAnsi="Arial" w:cs="Arial"/>
          <w:sz w:val="20"/>
          <w:szCs w:val="20"/>
        </w:rPr>
        <w:t>This section was updated to list the HIPP eligible applicant or member types</w:t>
      </w:r>
      <w:r w:rsidRPr="001B4569">
        <w:rPr>
          <w:rFonts w:ascii="Arial" w:hAnsi="Arial" w:cs="Arial"/>
          <w:color w:val="FF0000"/>
          <w:sz w:val="20"/>
          <w:szCs w:val="20"/>
        </w:rPr>
        <w:t>.</w:t>
      </w:r>
    </w:p>
    <w:p w14:paraId="304C7ADD" w14:textId="15D72282" w:rsidR="00217546" w:rsidRPr="001B4569" w:rsidRDefault="00217546" w:rsidP="00217546">
      <w:pPr>
        <w:pStyle w:val="NoSpacing"/>
        <w:rPr>
          <w:rFonts w:ascii="Arial" w:hAnsi="Arial" w:cs="Arial"/>
          <w:sz w:val="20"/>
          <w:szCs w:val="20"/>
        </w:rPr>
      </w:pPr>
      <w:r w:rsidRPr="001B4569">
        <w:rPr>
          <w:rFonts w:ascii="Arial" w:hAnsi="Arial" w:cs="Arial"/>
          <w:sz w:val="20"/>
          <w:szCs w:val="20"/>
        </w:rPr>
        <w:t xml:space="preserve">HIPP will be considered for the following </w:t>
      </w:r>
      <w:r w:rsidR="006D776A">
        <w:rPr>
          <w:rFonts w:ascii="Arial" w:hAnsi="Arial" w:cs="Arial"/>
          <w:sz w:val="20"/>
          <w:szCs w:val="20"/>
        </w:rPr>
        <w:t>Badger</w:t>
      </w:r>
      <w:r w:rsidR="006D776A" w:rsidRPr="001B4569">
        <w:rPr>
          <w:rFonts w:ascii="Arial" w:hAnsi="Arial" w:cs="Arial"/>
          <w:sz w:val="20"/>
          <w:szCs w:val="20"/>
        </w:rPr>
        <w:t>Care</w:t>
      </w:r>
      <w:r w:rsidRPr="001B4569">
        <w:rPr>
          <w:rFonts w:ascii="Arial" w:hAnsi="Arial" w:cs="Arial"/>
          <w:sz w:val="20"/>
          <w:szCs w:val="20"/>
        </w:rPr>
        <w:t xml:space="preserve"> Plus members when it is cost</w:t>
      </w:r>
    </w:p>
    <w:p w14:paraId="011238BF" w14:textId="39BA2CCA" w:rsidR="00217546" w:rsidRPr="001B4569" w:rsidRDefault="006D776A" w:rsidP="00217546">
      <w:pPr>
        <w:pStyle w:val="NoSpacing"/>
        <w:rPr>
          <w:rFonts w:ascii="Arial" w:hAnsi="Arial" w:cs="Arial"/>
          <w:sz w:val="20"/>
          <w:szCs w:val="20"/>
        </w:rPr>
      </w:pPr>
      <w:r>
        <w:rPr>
          <w:rFonts w:ascii="Arial" w:hAnsi="Arial" w:cs="Arial"/>
          <w:sz w:val="20"/>
          <w:szCs w:val="20"/>
        </w:rPr>
        <w:t>effective to do so:</w:t>
      </w:r>
    </w:p>
    <w:p w14:paraId="33179D4D" w14:textId="77777777" w:rsidR="00217546" w:rsidRPr="001B4569" w:rsidRDefault="00217546" w:rsidP="00217546">
      <w:pPr>
        <w:pStyle w:val="NoSpacing"/>
        <w:ind w:firstLine="720"/>
        <w:rPr>
          <w:rFonts w:ascii="Arial" w:hAnsi="Arial" w:cs="Arial"/>
          <w:sz w:val="20"/>
          <w:szCs w:val="20"/>
        </w:rPr>
      </w:pPr>
      <w:r w:rsidRPr="001B4569">
        <w:rPr>
          <w:rFonts w:ascii="Arial" w:hAnsi="Arial" w:cs="Arial"/>
          <w:sz w:val="20"/>
          <w:szCs w:val="20"/>
        </w:rPr>
        <w:t>• Children</w:t>
      </w:r>
    </w:p>
    <w:p w14:paraId="2BFA695E" w14:textId="77777777" w:rsidR="00217546" w:rsidRPr="001B4569" w:rsidRDefault="00217546" w:rsidP="00217546">
      <w:pPr>
        <w:pStyle w:val="NoSpacing"/>
        <w:ind w:firstLine="720"/>
        <w:rPr>
          <w:rFonts w:ascii="Arial" w:hAnsi="Arial" w:cs="Arial"/>
          <w:sz w:val="20"/>
          <w:szCs w:val="20"/>
        </w:rPr>
      </w:pPr>
      <w:r w:rsidRPr="001B4569">
        <w:rPr>
          <w:rFonts w:ascii="Arial" w:hAnsi="Arial" w:cs="Arial"/>
          <w:sz w:val="20"/>
          <w:szCs w:val="20"/>
        </w:rPr>
        <w:t>• Pregnant Women</w:t>
      </w:r>
    </w:p>
    <w:p w14:paraId="40A90AAF" w14:textId="77777777" w:rsidR="00217546" w:rsidRPr="001B4569" w:rsidRDefault="00217546" w:rsidP="00217546">
      <w:pPr>
        <w:pStyle w:val="NoSpacing"/>
        <w:ind w:firstLine="720"/>
        <w:rPr>
          <w:rFonts w:ascii="Arial" w:hAnsi="Arial" w:cs="Arial"/>
          <w:sz w:val="20"/>
          <w:szCs w:val="20"/>
        </w:rPr>
      </w:pPr>
      <w:r w:rsidRPr="001B4569">
        <w:rPr>
          <w:rFonts w:ascii="Arial" w:hAnsi="Arial" w:cs="Arial"/>
          <w:sz w:val="20"/>
          <w:szCs w:val="20"/>
        </w:rPr>
        <w:t>• Parents and Caretakers</w:t>
      </w:r>
    </w:p>
    <w:p w14:paraId="300BC15E" w14:textId="77777777" w:rsidR="00217546" w:rsidRPr="001B4569" w:rsidRDefault="00217546" w:rsidP="00217546">
      <w:pPr>
        <w:pStyle w:val="NoSpacing"/>
        <w:rPr>
          <w:rFonts w:ascii="Arial" w:hAnsi="Arial" w:cs="Arial"/>
          <w:sz w:val="20"/>
          <w:szCs w:val="20"/>
        </w:rPr>
      </w:pPr>
      <w:r w:rsidRPr="001B4569">
        <w:rPr>
          <w:rFonts w:ascii="Arial" w:hAnsi="Arial" w:cs="Arial"/>
          <w:sz w:val="20"/>
          <w:szCs w:val="20"/>
        </w:rPr>
        <w:t>HIPP is not available for childless adults.</w:t>
      </w:r>
    </w:p>
    <w:p w14:paraId="4E05F097" w14:textId="77777777" w:rsidR="00217546" w:rsidRPr="001B4569" w:rsidRDefault="00217546" w:rsidP="00217546">
      <w:pPr>
        <w:pStyle w:val="NoSpacing"/>
        <w:rPr>
          <w:rFonts w:ascii="Arial" w:hAnsi="Arial" w:cs="Arial"/>
          <w:sz w:val="20"/>
          <w:szCs w:val="20"/>
        </w:rPr>
      </w:pPr>
      <w:r w:rsidRPr="001B4569">
        <w:rPr>
          <w:rFonts w:ascii="Arial" w:hAnsi="Arial" w:cs="Arial"/>
          <w:sz w:val="20"/>
          <w:szCs w:val="20"/>
        </w:rPr>
        <w:tab/>
      </w:r>
    </w:p>
    <w:p w14:paraId="54EBA898" w14:textId="77777777" w:rsidR="00217546" w:rsidRPr="001B4569" w:rsidRDefault="00217546" w:rsidP="00217546">
      <w:pPr>
        <w:pStyle w:val="NoSpacing"/>
        <w:rPr>
          <w:rFonts w:ascii="Arial" w:hAnsi="Arial" w:cs="Arial"/>
          <w:b/>
          <w:bCs/>
        </w:rPr>
      </w:pPr>
      <w:r w:rsidRPr="001B4569">
        <w:rPr>
          <w:rFonts w:ascii="Arial" w:hAnsi="Arial" w:cs="Arial"/>
          <w:b/>
          <w:bCs/>
        </w:rPr>
        <w:t>9.9.13 Huber Law Exemption</w:t>
      </w:r>
    </w:p>
    <w:p w14:paraId="44FD67B1" w14:textId="77777777" w:rsidR="00217546" w:rsidRPr="001B4569" w:rsidRDefault="00217546" w:rsidP="00217546">
      <w:pPr>
        <w:pStyle w:val="NoSpacing"/>
        <w:rPr>
          <w:rFonts w:ascii="Arial" w:hAnsi="Arial" w:cs="Arial"/>
          <w:sz w:val="20"/>
          <w:szCs w:val="20"/>
        </w:rPr>
      </w:pPr>
      <w:r w:rsidRPr="001B4569">
        <w:rPr>
          <w:rFonts w:ascii="Arial" w:hAnsi="Arial" w:cs="Arial"/>
          <w:sz w:val="20"/>
          <w:szCs w:val="20"/>
        </w:rPr>
        <w:t>Applicants and members who are incarcerated but allowed to leave jail under the Huber</w:t>
      </w:r>
    </w:p>
    <w:p w14:paraId="487FDB79" w14:textId="77777777" w:rsidR="00217546" w:rsidRPr="001B4569" w:rsidRDefault="00217546" w:rsidP="00217546">
      <w:pPr>
        <w:pStyle w:val="NoSpacing"/>
        <w:rPr>
          <w:rFonts w:ascii="Arial" w:hAnsi="Arial" w:cs="Arial"/>
          <w:sz w:val="20"/>
          <w:szCs w:val="20"/>
        </w:rPr>
      </w:pPr>
      <w:r w:rsidRPr="001B4569">
        <w:rPr>
          <w:rFonts w:ascii="Arial" w:hAnsi="Arial" w:cs="Arial"/>
          <w:sz w:val="20"/>
          <w:szCs w:val="20"/>
        </w:rPr>
        <w:t>Law can become or remain eligible for full-benefit BadgerCare Plus if the reason for the</w:t>
      </w:r>
    </w:p>
    <w:p w14:paraId="6C13998E" w14:textId="77777777" w:rsidR="00217546" w:rsidRPr="001B4569" w:rsidRDefault="00217546" w:rsidP="00217546">
      <w:pPr>
        <w:pStyle w:val="NoSpacing"/>
        <w:rPr>
          <w:rFonts w:ascii="Arial" w:hAnsi="Arial" w:cs="Arial"/>
          <w:sz w:val="20"/>
          <w:szCs w:val="20"/>
        </w:rPr>
      </w:pPr>
      <w:r w:rsidRPr="001B4569">
        <w:rPr>
          <w:rFonts w:ascii="Arial" w:hAnsi="Arial" w:cs="Arial"/>
          <w:sz w:val="20"/>
          <w:szCs w:val="20"/>
        </w:rPr>
        <w:t>release is to return home to care for their minor children (see SECTION 45.8.4 HUBER LAW</w:t>
      </w:r>
    </w:p>
    <w:p w14:paraId="46F6CC4E" w14:textId="77777777" w:rsidR="00217546" w:rsidRPr="001B4569" w:rsidRDefault="00217546" w:rsidP="00217546">
      <w:pPr>
        <w:pStyle w:val="NoSpacing"/>
        <w:rPr>
          <w:rFonts w:ascii="Arial" w:hAnsi="Arial" w:cs="Arial"/>
          <w:sz w:val="20"/>
          <w:szCs w:val="20"/>
        </w:rPr>
      </w:pPr>
      <w:r w:rsidRPr="001B4569">
        <w:rPr>
          <w:rFonts w:ascii="Arial" w:hAnsi="Arial" w:cs="Arial"/>
          <w:sz w:val="20"/>
          <w:szCs w:val="20"/>
        </w:rPr>
        <w:t>for the Huber Law exemption criteria).</w:t>
      </w:r>
    </w:p>
    <w:p w14:paraId="05089F96" w14:textId="77777777" w:rsidR="00217546" w:rsidRPr="001B4569" w:rsidRDefault="00217546" w:rsidP="00217546">
      <w:pPr>
        <w:pStyle w:val="NoSpacing"/>
        <w:rPr>
          <w:rFonts w:ascii="Arial" w:hAnsi="Arial" w:cs="Arial"/>
          <w:sz w:val="20"/>
          <w:szCs w:val="20"/>
        </w:rPr>
      </w:pPr>
      <w:r w:rsidRPr="001B4569">
        <w:rPr>
          <w:rFonts w:ascii="Arial" w:hAnsi="Arial" w:cs="Arial"/>
          <w:sz w:val="20"/>
          <w:szCs w:val="20"/>
        </w:rPr>
        <w:t>To qualify for the Huber Law exemption, verification that the applicant or member is</w:t>
      </w:r>
    </w:p>
    <w:p w14:paraId="36DEE967" w14:textId="77777777" w:rsidR="00217546" w:rsidRPr="001B4569" w:rsidRDefault="00217546" w:rsidP="00217546">
      <w:pPr>
        <w:pStyle w:val="NoSpacing"/>
        <w:rPr>
          <w:rFonts w:ascii="Arial" w:hAnsi="Arial" w:cs="Arial"/>
          <w:sz w:val="20"/>
          <w:szCs w:val="20"/>
        </w:rPr>
      </w:pPr>
      <w:r w:rsidRPr="001B4569">
        <w:rPr>
          <w:rFonts w:ascii="Arial" w:hAnsi="Arial" w:cs="Arial"/>
          <w:sz w:val="20"/>
          <w:szCs w:val="20"/>
        </w:rPr>
        <w:t>returning home to care for minor children is required.</w:t>
      </w:r>
    </w:p>
    <w:p w14:paraId="20ACD8D4" w14:textId="77777777" w:rsidR="00217546" w:rsidRPr="001B4569" w:rsidRDefault="00217546" w:rsidP="00217546">
      <w:pPr>
        <w:pStyle w:val="NoSpacing"/>
        <w:rPr>
          <w:rFonts w:ascii="Arial" w:hAnsi="Arial" w:cs="Arial"/>
          <w:sz w:val="20"/>
          <w:szCs w:val="20"/>
        </w:rPr>
      </w:pPr>
      <w:r w:rsidRPr="001B4569">
        <w:rPr>
          <w:rFonts w:ascii="Arial" w:hAnsi="Arial" w:cs="Arial"/>
          <w:sz w:val="20"/>
          <w:szCs w:val="20"/>
        </w:rPr>
        <w:t>Acceptable verification sources include:</w:t>
      </w:r>
    </w:p>
    <w:p w14:paraId="220710A3" w14:textId="77777777" w:rsidR="00217546" w:rsidRPr="001B4569" w:rsidRDefault="00217546" w:rsidP="00217546">
      <w:pPr>
        <w:pStyle w:val="NoSpacing"/>
        <w:ind w:firstLine="720"/>
        <w:rPr>
          <w:rFonts w:ascii="Arial" w:hAnsi="Arial" w:cs="Arial"/>
          <w:sz w:val="20"/>
          <w:szCs w:val="20"/>
        </w:rPr>
      </w:pPr>
      <w:r w:rsidRPr="001B4569">
        <w:rPr>
          <w:rFonts w:ascii="Arial" w:hAnsi="Arial" w:cs="Arial"/>
          <w:sz w:val="20"/>
          <w:szCs w:val="20"/>
        </w:rPr>
        <w:t>• Agency Form</w:t>
      </w:r>
    </w:p>
    <w:p w14:paraId="04160BF8" w14:textId="77777777" w:rsidR="00217546" w:rsidRPr="001B4569" w:rsidRDefault="00217546" w:rsidP="00217546">
      <w:pPr>
        <w:pStyle w:val="NoSpacing"/>
        <w:ind w:firstLine="720"/>
        <w:rPr>
          <w:rFonts w:ascii="Arial" w:hAnsi="Arial" w:cs="Arial"/>
          <w:sz w:val="20"/>
          <w:szCs w:val="20"/>
        </w:rPr>
      </w:pPr>
      <w:r w:rsidRPr="001B4569">
        <w:rPr>
          <w:rFonts w:ascii="Arial" w:hAnsi="Arial" w:cs="Arial"/>
          <w:sz w:val="20"/>
          <w:szCs w:val="20"/>
        </w:rPr>
        <w:t>• Court Order</w:t>
      </w:r>
    </w:p>
    <w:p w14:paraId="5CD5D8E6" w14:textId="77777777" w:rsidR="00217546" w:rsidRPr="001B4569" w:rsidRDefault="00217546" w:rsidP="00217546">
      <w:pPr>
        <w:pStyle w:val="NoSpacing"/>
        <w:ind w:firstLine="720"/>
        <w:rPr>
          <w:rFonts w:ascii="Arial" w:hAnsi="Arial" w:cs="Arial"/>
          <w:sz w:val="20"/>
          <w:szCs w:val="20"/>
        </w:rPr>
      </w:pPr>
      <w:r w:rsidRPr="001B4569">
        <w:rPr>
          <w:rFonts w:ascii="Arial" w:hAnsi="Arial" w:cs="Arial"/>
          <w:sz w:val="20"/>
          <w:szCs w:val="20"/>
        </w:rPr>
        <w:t>• City or County Records, such as from the correctional facility</w:t>
      </w:r>
    </w:p>
    <w:p w14:paraId="12EEC50D" w14:textId="77777777" w:rsidR="00217546" w:rsidRPr="001B4569" w:rsidRDefault="00217546" w:rsidP="00217546">
      <w:pPr>
        <w:pStyle w:val="NoSpacing"/>
        <w:ind w:firstLine="720"/>
        <w:rPr>
          <w:rFonts w:ascii="Arial" w:hAnsi="Arial" w:cs="Arial"/>
          <w:sz w:val="20"/>
          <w:szCs w:val="20"/>
        </w:rPr>
      </w:pPr>
      <w:r w:rsidRPr="001B4569">
        <w:rPr>
          <w:rFonts w:ascii="Arial" w:hAnsi="Arial" w:cs="Arial"/>
          <w:sz w:val="20"/>
          <w:szCs w:val="20"/>
        </w:rPr>
        <w:t>• Lawyer Statement or Record</w:t>
      </w:r>
    </w:p>
    <w:p w14:paraId="6D0A40DD" w14:textId="77777777" w:rsidR="00217546" w:rsidRPr="001B4569" w:rsidRDefault="00217546" w:rsidP="00217546">
      <w:pPr>
        <w:pStyle w:val="NoSpacing"/>
        <w:ind w:firstLine="720"/>
        <w:rPr>
          <w:rFonts w:ascii="Arial" w:hAnsi="Arial" w:cs="Arial"/>
          <w:sz w:val="20"/>
          <w:szCs w:val="20"/>
        </w:rPr>
      </w:pPr>
      <w:r w:rsidRPr="001B4569">
        <w:rPr>
          <w:rFonts w:ascii="Arial" w:hAnsi="Arial" w:cs="Arial"/>
          <w:sz w:val="20"/>
          <w:szCs w:val="20"/>
        </w:rPr>
        <w:t>• Other Acceptable Written or Verbal Statement, such as from the court or</w:t>
      </w:r>
    </w:p>
    <w:p w14:paraId="3D674084" w14:textId="77777777" w:rsidR="00217546" w:rsidRPr="001B4569" w:rsidRDefault="00217546" w:rsidP="00217546">
      <w:pPr>
        <w:pStyle w:val="NoSpacing"/>
        <w:ind w:firstLine="720"/>
        <w:rPr>
          <w:rFonts w:ascii="Arial" w:hAnsi="Arial" w:cs="Arial"/>
          <w:sz w:val="20"/>
          <w:szCs w:val="20"/>
        </w:rPr>
      </w:pPr>
      <w:r w:rsidRPr="001B4569">
        <w:rPr>
          <w:rFonts w:ascii="Arial" w:hAnsi="Arial" w:cs="Arial"/>
          <w:sz w:val="20"/>
          <w:szCs w:val="20"/>
        </w:rPr>
        <w:t>correctional facility staff</w:t>
      </w:r>
    </w:p>
    <w:p w14:paraId="3D22E6E3" w14:textId="77777777" w:rsidR="00217546" w:rsidRPr="001B4569" w:rsidRDefault="00217546" w:rsidP="00217546">
      <w:pPr>
        <w:pStyle w:val="NoSpacing"/>
        <w:rPr>
          <w:rFonts w:ascii="Arial" w:hAnsi="Arial" w:cs="Arial"/>
          <w:sz w:val="20"/>
          <w:szCs w:val="20"/>
        </w:rPr>
      </w:pPr>
      <w:r w:rsidRPr="001B4569">
        <w:rPr>
          <w:rFonts w:ascii="Arial" w:hAnsi="Arial" w:cs="Arial"/>
          <w:sz w:val="20"/>
          <w:szCs w:val="20"/>
        </w:rPr>
        <w:t>If the verification shows that the person is only allowed to leave jail under the Huber</w:t>
      </w:r>
    </w:p>
    <w:p w14:paraId="7F00719F" w14:textId="77777777" w:rsidR="00217546" w:rsidRPr="001B4569" w:rsidRDefault="00217546" w:rsidP="00217546">
      <w:pPr>
        <w:pStyle w:val="NoSpacing"/>
        <w:rPr>
          <w:rFonts w:ascii="Arial" w:hAnsi="Arial" w:cs="Arial"/>
          <w:sz w:val="20"/>
          <w:szCs w:val="20"/>
        </w:rPr>
      </w:pPr>
      <w:r w:rsidRPr="001B4569">
        <w:rPr>
          <w:rFonts w:ascii="Arial" w:hAnsi="Arial" w:cs="Arial"/>
          <w:sz w:val="20"/>
          <w:szCs w:val="20"/>
        </w:rPr>
        <w:t>Law for a reason other than caring for a minor child, they are not eligible for the Huber</w:t>
      </w:r>
    </w:p>
    <w:p w14:paraId="4F13D4D3" w14:textId="77777777" w:rsidR="00217546" w:rsidRPr="001B4569" w:rsidRDefault="00217546" w:rsidP="00217546">
      <w:pPr>
        <w:pStyle w:val="NoSpacing"/>
        <w:rPr>
          <w:rFonts w:ascii="Arial" w:hAnsi="Arial" w:cs="Arial"/>
          <w:sz w:val="20"/>
          <w:szCs w:val="20"/>
        </w:rPr>
      </w:pPr>
      <w:r w:rsidRPr="001B4569">
        <w:rPr>
          <w:rFonts w:ascii="Arial" w:hAnsi="Arial" w:cs="Arial"/>
          <w:sz w:val="20"/>
          <w:szCs w:val="20"/>
        </w:rPr>
        <w:t>Law exemption.</w:t>
      </w:r>
    </w:p>
    <w:p w14:paraId="46D88A6E" w14:textId="77777777" w:rsidR="00217546" w:rsidRPr="001B4569" w:rsidRDefault="00217546" w:rsidP="00217546">
      <w:pPr>
        <w:pStyle w:val="NoSpacing"/>
        <w:rPr>
          <w:rFonts w:ascii="Arial" w:hAnsi="Arial" w:cs="Arial"/>
          <w:sz w:val="20"/>
          <w:szCs w:val="20"/>
        </w:rPr>
      </w:pPr>
    </w:p>
    <w:p w14:paraId="40E24178" w14:textId="141D8131" w:rsidR="00217546" w:rsidRPr="001B4569" w:rsidRDefault="00217546" w:rsidP="00217546">
      <w:pPr>
        <w:pStyle w:val="NoSpacing"/>
        <w:rPr>
          <w:rFonts w:ascii="Arial" w:hAnsi="Arial" w:cs="Arial"/>
          <w:b/>
          <w:bCs/>
        </w:rPr>
      </w:pPr>
      <w:r w:rsidRPr="001B4569">
        <w:rPr>
          <w:rFonts w:ascii="Arial" w:hAnsi="Arial" w:cs="Arial"/>
          <w:b/>
          <w:bCs/>
        </w:rPr>
        <w:t>16.2 Income types not counted.</w:t>
      </w:r>
    </w:p>
    <w:p w14:paraId="42F65FDA" w14:textId="77777777" w:rsidR="00217546" w:rsidRPr="001B4569" w:rsidRDefault="00217546" w:rsidP="001B4569">
      <w:pPr>
        <w:pStyle w:val="NoSpacing"/>
        <w:rPr>
          <w:rFonts w:ascii="Arial" w:hAnsi="Arial" w:cs="Arial"/>
          <w:sz w:val="20"/>
          <w:szCs w:val="20"/>
        </w:rPr>
      </w:pPr>
      <w:r w:rsidRPr="001B4569">
        <w:rPr>
          <w:rFonts w:ascii="Arial" w:hAnsi="Arial" w:cs="Arial"/>
          <w:sz w:val="20"/>
          <w:szCs w:val="20"/>
        </w:rPr>
        <w:t>ABLE Accounts in other state</w:t>
      </w:r>
    </w:p>
    <w:p w14:paraId="00C7FE13" w14:textId="77777777" w:rsidR="00217546" w:rsidRPr="001B4569" w:rsidRDefault="00217546" w:rsidP="00217546">
      <w:pPr>
        <w:pStyle w:val="NoSpacing"/>
        <w:numPr>
          <w:ilvl w:val="0"/>
          <w:numId w:val="8"/>
        </w:numPr>
        <w:rPr>
          <w:rFonts w:ascii="Arial" w:hAnsi="Arial" w:cs="Arial"/>
          <w:sz w:val="20"/>
          <w:szCs w:val="20"/>
        </w:rPr>
      </w:pPr>
      <w:r w:rsidRPr="001B4569">
        <w:rPr>
          <w:rFonts w:ascii="Arial" w:hAnsi="Arial" w:cs="Arial"/>
          <w:sz w:val="20"/>
          <w:szCs w:val="20"/>
        </w:rPr>
        <w:t xml:space="preserve">Do not count contributions to the account from someone other than the member, any interest or dividends earned, or other appreciation in value as income. </w:t>
      </w:r>
    </w:p>
    <w:p w14:paraId="136AC425" w14:textId="77777777" w:rsidR="00217546" w:rsidRPr="001B4569" w:rsidRDefault="00217546" w:rsidP="00217546">
      <w:pPr>
        <w:pStyle w:val="NoSpacing"/>
        <w:numPr>
          <w:ilvl w:val="0"/>
          <w:numId w:val="8"/>
        </w:numPr>
        <w:rPr>
          <w:rFonts w:ascii="Arial" w:hAnsi="Arial" w:cs="Arial"/>
          <w:sz w:val="20"/>
          <w:szCs w:val="20"/>
        </w:rPr>
      </w:pPr>
      <w:r w:rsidRPr="001B4569">
        <w:rPr>
          <w:rFonts w:ascii="Arial" w:hAnsi="Arial" w:cs="Arial"/>
          <w:sz w:val="20"/>
          <w:szCs w:val="20"/>
        </w:rPr>
        <w:t>Note: Someone using their earned or unearned income to contribute to an ABLE account does not make the income exempt for purposes of Medicaid eligibility. Income received by the designated beneficiary and deposited into their ABLE account is still income to the designated beneficiary. For example, an applicant can have contributions automatically deducted from their paycheck and deposited into an ABLE account. In this case, the income used to make the ABLE account contribution is included in the Medicaid eligibility determination as income, even though the ABLE account is an exempt asset.</w:t>
      </w:r>
    </w:p>
    <w:p w14:paraId="01F37D7D" w14:textId="7FE5C267" w:rsidR="00217546" w:rsidRPr="001B4569" w:rsidRDefault="00217546" w:rsidP="00217546">
      <w:pPr>
        <w:pStyle w:val="NoSpacing"/>
        <w:numPr>
          <w:ilvl w:val="0"/>
          <w:numId w:val="8"/>
        </w:numPr>
        <w:rPr>
          <w:rFonts w:ascii="Arial" w:hAnsi="Arial" w:cs="Arial"/>
          <w:sz w:val="20"/>
          <w:szCs w:val="20"/>
        </w:rPr>
      </w:pPr>
      <w:r w:rsidRPr="001B4569">
        <w:rPr>
          <w:rFonts w:ascii="Arial" w:hAnsi="Arial" w:cs="Arial"/>
          <w:sz w:val="20"/>
          <w:szCs w:val="20"/>
        </w:rPr>
        <w:t>Exempt all distributions from these accounts to the beneficiary as long as they are for</w:t>
      </w:r>
      <w:r w:rsidR="006D776A">
        <w:rPr>
          <w:rFonts w:ascii="Arial" w:hAnsi="Arial" w:cs="Arial"/>
          <w:sz w:val="20"/>
          <w:szCs w:val="20"/>
        </w:rPr>
        <w:t xml:space="preserve"> qualified disability expenses </w:t>
      </w:r>
      <w:r w:rsidRPr="001B4569">
        <w:rPr>
          <w:rFonts w:ascii="Arial" w:hAnsi="Arial" w:cs="Arial"/>
          <w:sz w:val="20"/>
          <w:szCs w:val="20"/>
        </w:rPr>
        <w:t>and are not more than the beneficiary's qualified disability expenses.</w:t>
      </w:r>
    </w:p>
    <w:p w14:paraId="7521CC4E" w14:textId="77777777" w:rsidR="00217546" w:rsidRPr="001B4569" w:rsidRDefault="00217546" w:rsidP="00217546">
      <w:pPr>
        <w:pStyle w:val="NoSpacing"/>
        <w:numPr>
          <w:ilvl w:val="0"/>
          <w:numId w:val="9"/>
        </w:numPr>
        <w:rPr>
          <w:rFonts w:ascii="Arial" w:hAnsi="Arial" w:cs="Arial"/>
          <w:sz w:val="20"/>
          <w:szCs w:val="20"/>
        </w:rPr>
      </w:pPr>
      <w:r w:rsidRPr="001B4569">
        <w:rPr>
          <w:rFonts w:ascii="Arial" w:hAnsi="Arial" w:cs="Arial"/>
          <w:sz w:val="20"/>
          <w:szCs w:val="20"/>
        </w:rPr>
        <w:t>Certain Payment Types Related to the Covid-19 Pandemic</w:t>
      </w:r>
    </w:p>
    <w:p w14:paraId="2CA7D51F" w14:textId="77777777" w:rsidR="00217546" w:rsidRPr="001B4569" w:rsidRDefault="00217546" w:rsidP="00217546">
      <w:pPr>
        <w:pStyle w:val="NoSpacing"/>
        <w:numPr>
          <w:ilvl w:val="0"/>
          <w:numId w:val="9"/>
        </w:numPr>
        <w:rPr>
          <w:rFonts w:ascii="Arial" w:hAnsi="Arial" w:cs="Arial"/>
          <w:sz w:val="20"/>
          <w:szCs w:val="20"/>
        </w:rPr>
      </w:pPr>
      <w:r w:rsidRPr="001B4569">
        <w:rPr>
          <w:rFonts w:ascii="Arial" w:hAnsi="Arial" w:cs="Arial"/>
          <w:sz w:val="20"/>
          <w:szCs w:val="20"/>
        </w:rPr>
        <w:t>Economic relief payments paid directly from a tribal government to a tribal</w:t>
      </w:r>
    </w:p>
    <w:p w14:paraId="3DA7D41D" w14:textId="77777777" w:rsidR="00217546" w:rsidRPr="001B4569" w:rsidRDefault="00217546" w:rsidP="00217546">
      <w:pPr>
        <w:pStyle w:val="NoSpacing"/>
        <w:ind w:firstLine="720"/>
        <w:rPr>
          <w:rFonts w:ascii="Arial" w:hAnsi="Arial" w:cs="Arial"/>
          <w:sz w:val="20"/>
          <w:szCs w:val="20"/>
        </w:rPr>
      </w:pPr>
      <w:r w:rsidRPr="001B4569">
        <w:rPr>
          <w:rFonts w:ascii="Arial" w:hAnsi="Arial" w:cs="Arial"/>
          <w:sz w:val="20"/>
          <w:szCs w:val="20"/>
        </w:rPr>
        <w:t>member using local government relief funds provided through the CARES Act</w:t>
      </w:r>
    </w:p>
    <w:p w14:paraId="6A812BCF" w14:textId="77777777" w:rsidR="00217546" w:rsidRPr="001B4569" w:rsidRDefault="00217546" w:rsidP="00217546">
      <w:pPr>
        <w:pStyle w:val="NoSpacing"/>
        <w:numPr>
          <w:ilvl w:val="0"/>
          <w:numId w:val="10"/>
        </w:numPr>
        <w:rPr>
          <w:rFonts w:ascii="Arial" w:hAnsi="Arial" w:cs="Arial"/>
          <w:sz w:val="20"/>
          <w:szCs w:val="20"/>
        </w:rPr>
      </w:pPr>
      <w:r w:rsidRPr="001B4569">
        <w:rPr>
          <w:rFonts w:ascii="Arial" w:hAnsi="Arial" w:cs="Arial"/>
          <w:sz w:val="20"/>
          <w:szCs w:val="20"/>
        </w:rPr>
        <w:t>A Paycheck Protection Program (PPP) loan. The loan itself is not counted as</w:t>
      </w:r>
    </w:p>
    <w:p w14:paraId="787A84C7" w14:textId="77777777" w:rsidR="00217546" w:rsidRPr="001B4569" w:rsidRDefault="00217546" w:rsidP="00217546">
      <w:pPr>
        <w:pStyle w:val="NoSpacing"/>
        <w:ind w:firstLine="720"/>
        <w:rPr>
          <w:rFonts w:ascii="Arial" w:hAnsi="Arial" w:cs="Arial"/>
          <w:sz w:val="20"/>
          <w:szCs w:val="20"/>
        </w:rPr>
      </w:pPr>
      <w:r w:rsidRPr="001B4569">
        <w:rPr>
          <w:rFonts w:ascii="Arial" w:hAnsi="Arial" w:cs="Arial"/>
          <w:sz w:val="20"/>
          <w:szCs w:val="20"/>
        </w:rPr>
        <w:t>income. However, if the loan is being used to pay employee wages, the wages</w:t>
      </w:r>
    </w:p>
    <w:p w14:paraId="0F44CBAB" w14:textId="77777777" w:rsidR="00217546" w:rsidRPr="001B4569" w:rsidRDefault="00217546" w:rsidP="00217546">
      <w:pPr>
        <w:pStyle w:val="NoSpacing"/>
        <w:ind w:firstLine="720"/>
        <w:rPr>
          <w:rFonts w:ascii="Arial" w:hAnsi="Arial" w:cs="Arial"/>
          <w:sz w:val="20"/>
          <w:szCs w:val="20"/>
        </w:rPr>
      </w:pPr>
      <w:r w:rsidRPr="001B4569">
        <w:rPr>
          <w:rFonts w:ascii="Arial" w:hAnsi="Arial" w:cs="Arial"/>
          <w:sz w:val="20"/>
          <w:szCs w:val="20"/>
        </w:rPr>
        <w:t xml:space="preserve">are counted as income for the employee who receives them. </w:t>
      </w:r>
      <w:r w:rsidRPr="001B4569">
        <w:rPr>
          <w:rFonts w:ascii="Arial" w:hAnsi="Arial" w:cs="Arial"/>
          <w:sz w:val="20"/>
          <w:szCs w:val="20"/>
        </w:rPr>
        <w:cr/>
      </w:r>
    </w:p>
    <w:p w14:paraId="15643F9D" w14:textId="77777777" w:rsidR="001B4569" w:rsidRDefault="001B4569" w:rsidP="00217546">
      <w:pPr>
        <w:pStyle w:val="NoSpacing"/>
        <w:rPr>
          <w:rFonts w:ascii="Arial" w:hAnsi="Arial" w:cs="Arial"/>
          <w:b/>
          <w:bCs/>
        </w:rPr>
      </w:pPr>
    </w:p>
    <w:p w14:paraId="4AF1F504" w14:textId="77777777" w:rsidR="00370056" w:rsidRDefault="00370056" w:rsidP="00217546">
      <w:pPr>
        <w:pStyle w:val="NoSpacing"/>
        <w:rPr>
          <w:rFonts w:ascii="Arial" w:hAnsi="Arial" w:cs="Arial"/>
          <w:b/>
          <w:bCs/>
        </w:rPr>
      </w:pPr>
    </w:p>
    <w:p w14:paraId="661BB40B" w14:textId="066F75C8" w:rsidR="00217546" w:rsidRPr="00370056" w:rsidRDefault="00217546" w:rsidP="00217546">
      <w:pPr>
        <w:pStyle w:val="NoSpacing"/>
        <w:numPr>
          <w:ilvl w:val="1"/>
          <w:numId w:val="11"/>
        </w:numPr>
        <w:rPr>
          <w:rFonts w:ascii="Arial" w:hAnsi="Arial" w:cs="Arial"/>
          <w:b/>
          <w:bCs/>
        </w:rPr>
      </w:pPr>
      <w:r w:rsidRPr="001B4569">
        <w:rPr>
          <w:rFonts w:ascii="Arial" w:hAnsi="Arial" w:cs="Arial"/>
          <w:b/>
          <w:bCs/>
        </w:rPr>
        <w:t>Other income</w:t>
      </w:r>
    </w:p>
    <w:p w14:paraId="4FD6F212" w14:textId="77777777" w:rsidR="00217546" w:rsidRPr="00370056" w:rsidRDefault="00217546" w:rsidP="001B4569">
      <w:pPr>
        <w:pStyle w:val="NoSpacing"/>
        <w:ind w:firstLine="360"/>
        <w:rPr>
          <w:rFonts w:ascii="Arial" w:hAnsi="Arial" w:cs="Arial"/>
          <w:b/>
          <w:bCs/>
          <w:sz w:val="20"/>
        </w:rPr>
      </w:pPr>
      <w:r w:rsidRPr="00370056">
        <w:rPr>
          <w:rFonts w:ascii="Arial" w:hAnsi="Arial" w:cs="Arial"/>
          <w:b/>
          <w:bCs/>
          <w:sz w:val="20"/>
        </w:rPr>
        <w:t>24. Virtual Currency</w:t>
      </w:r>
    </w:p>
    <w:p w14:paraId="041181D9" w14:textId="77777777" w:rsidR="00217546" w:rsidRPr="001B4569" w:rsidRDefault="00217546" w:rsidP="00217546">
      <w:pPr>
        <w:pStyle w:val="NoSpacing"/>
        <w:ind w:firstLine="360"/>
        <w:rPr>
          <w:rFonts w:ascii="Arial" w:hAnsi="Arial" w:cs="Arial"/>
          <w:sz w:val="20"/>
          <w:szCs w:val="20"/>
        </w:rPr>
      </w:pPr>
      <w:r w:rsidRPr="001B4569">
        <w:rPr>
          <w:rFonts w:ascii="Arial" w:hAnsi="Arial" w:cs="Arial"/>
          <w:sz w:val="20"/>
          <w:szCs w:val="20"/>
        </w:rPr>
        <w:t>Virtual currency is counted as income when it is received in the following situations:</w:t>
      </w:r>
    </w:p>
    <w:p w14:paraId="2EAF0520" w14:textId="77777777" w:rsidR="00217546" w:rsidRPr="001B4569" w:rsidRDefault="00217546" w:rsidP="00217546">
      <w:pPr>
        <w:pStyle w:val="NoSpacing"/>
        <w:ind w:firstLine="720"/>
        <w:rPr>
          <w:rFonts w:ascii="Arial" w:hAnsi="Arial" w:cs="Arial"/>
          <w:sz w:val="20"/>
          <w:szCs w:val="20"/>
        </w:rPr>
      </w:pPr>
      <w:r w:rsidRPr="001B4569">
        <w:rPr>
          <w:rFonts w:ascii="Arial" w:hAnsi="Arial" w:cs="Arial"/>
          <w:sz w:val="20"/>
          <w:szCs w:val="20"/>
        </w:rPr>
        <w:t>• Received as payment for goods or services</w:t>
      </w:r>
    </w:p>
    <w:p w14:paraId="0B64654F" w14:textId="77777777" w:rsidR="00217546" w:rsidRPr="001B4569" w:rsidRDefault="00217546" w:rsidP="00217546">
      <w:pPr>
        <w:pStyle w:val="NoSpacing"/>
        <w:ind w:firstLine="720"/>
        <w:rPr>
          <w:rFonts w:ascii="Arial" w:hAnsi="Arial" w:cs="Arial"/>
          <w:sz w:val="20"/>
          <w:szCs w:val="20"/>
        </w:rPr>
      </w:pPr>
      <w:r w:rsidRPr="001B4569">
        <w:rPr>
          <w:rFonts w:ascii="Arial" w:hAnsi="Arial" w:cs="Arial"/>
          <w:sz w:val="20"/>
          <w:szCs w:val="20"/>
        </w:rPr>
        <w:t>• Received by an independent contractor for performing services</w:t>
      </w:r>
    </w:p>
    <w:p w14:paraId="258F4285" w14:textId="77777777" w:rsidR="00217546" w:rsidRPr="001B4569" w:rsidRDefault="00217546" w:rsidP="00217546">
      <w:pPr>
        <w:pStyle w:val="NoSpacing"/>
        <w:ind w:firstLine="720"/>
        <w:rPr>
          <w:rFonts w:ascii="Arial" w:hAnsi="Arial" w:cs="Arial"/>
          <w:sz w:val="20"/>
          <w:szCs w:val="20"/>
        </w:rPr>
      </w:pPr>
      <w:r w:rsidRPr="001B4569">
        <w:rPr>
          <w:rFonts w:ascii="Arial" w:hAnsi="Arial" w:cs="Arial"/>
          <w:sz w:val="20"/>
          <w:szCs w:val="20"/>
        </w:rPr>
        <w:t>• Received from an employer as remuneration for services (i.e., wages)</w:t>
      </w:r>
    </w:p>
    <w:p w14:paraId="03F7B259" w14:textId="277C4B15" w:rsidR="00217546" w:rsidRPr="001B4569" w:rsidRDefault="001B4569" w:rsidP="001B4569">
      <w:pPr>
        <w:pStyle w:val="NoSpacing"/>
        <w:rPr>
          <w:rFonts w:ascii="Arial" w:hAnsi="Arial" w:cs="Arial"/>
          <w:sz w:val="20"/>
          <w:szCs w:val="20"/>
        </w:rPr>
      </w:pPr>
      <w:r>
        <w:rPr>
          <w:rFonts w:ascii="Arial" w:hAnsi="Arial" w:cs="Arial"/>
          <w:sz w:val="20"/>
          <w:szCs w:val="20"/>
        </w:rPr>
        <w:t xml:space="preserve">      </w:t>
      </w:r>
      <w:r w:rsidR="00217546" w:rsidRPr="001B4569">
        <w:rPr>
          <w:rFonts w:ascii="Arial" w:hAnsi="Arial" w:cs="Arial"/>
          <w:sz w:val="20"/>
          <w:szCs w:val="20"/>
        </w:rPr>
        <w:t>If virtual currency is sold, income received from the sale is counted as income for</w:t>
      </w:r>
    </w:p>
    <w:p w14:paraId="5081C57D" w14:textId="66591EB2" w:rsidR="00217546" w:rsidRPr="001B4569" w:rsidRDefault="001B4569" w:rsidP="00217546">
      <w:pPr>
        <w:pStyle w:val="NoSpacing"/>
        <w:rPr>
          <w:rFonts w:ascii="Arial" w:hAnsi="Arial" w:cs="Arial"/>
          <w:sz w:val="20"/>
          <w:szCs w:val="20"/>
        </w:rPr>
      </w:pPr>
      <w:r>
        <w:rPr>
          <w:rFonts w:ascii="Arial" w:hAnsi="Arial" w:cs="Arial"/>
          <w:sz w:val="20"/>
          <w:szCs w:val="20"/>
        </w:rPr>
        <w:t xml:space="preserve">      </w:t>
      </w:r>
      <w:r w:rsidR="00217546" w:rsidRPr="001B4569">
        <w:rPr>
          <w:rFonts w:ascii="Arial" w:hAnsi="Arial" w:cs="Arial"/>
          <w:sz w:val="20"/>
          <w:szCs w:val="20"/>
        </w:rPr>
        <w:t>BadgerCare Plus only if the income is regular and predictable or if the sale occurs as</w:t>
      </w:r>
    </w:p>
    <w:p w14:paraId="1D823F5A" w14:textId="03FB8A1B" w:rsidR="00217546" w:rsidRPr="001B4569" w:rsidRDefault="001B4569" w:rsidP="00217546">
      <w:pPr>
        <w:pStyle w:val="NoSpacing"/>
        <w:rPr>
          <w:rFonts w:ascii="Arial" w:hAnsi="Arial" w:cs="Arial"/>
          <w:sz w:val="20"/>
          <w:szCs w:val="20"/>
        </w:rPr>
      </w:pPr>
      <w:r>
        <w:rPr>
          <w:rFonts w:ascii="Arial" w:hAnsi="Arial" w:cs="Arial"/>
          <w:sz w:val="20"/>
          <w:szCs w:val="20"/>
        </w:rPr>
        <w:t xml:space="preserve">      </w:t>
      </w:r>
      <w:r w:rsidR="00217546" w:rsidRPr="001B4569">
        <w:rPr>
          <w:rFonts w:ascii="Arial" w:hAnsi="Arial" w:cs="Arial"/>
          <w:sz w:val="20"/>
          <w:szCs w:val="20"/>
        </w:rPr>
        <w:t>part of a trade or business.</w:t>
      </w:r>
    </w:p>
    <w:p w14:paraId="28C52B99" w14:textId="77777777" w:rsidR="00217546" w:rsidRPr="001B4569" w:rsidRDefault="00217546" w:rsidP="00217546">
      <w:pPr>
        <w:pStyle w:val="NoSpacing"/>
        <w:rPr>
          <w:rFonts w:ascii="Arial" w:hAnsi="Arial" w:cs="Arial"/>
          <w:sz w:val="20"/>
          <w:szCs w:val="20"/>
        </w:rPr>
      </w:pPr>
    </w:p>
    <w:p w14:paraId="7203D741" w14:textId="77777777" w:rsidR="00370056" w:rsidRDefault="00217546" w:rsidP="00370056">
      <w:pPr>
        <w:rPr>
          <w:rFonts w:ascii="Arial" w:hAnsi="Arial" w:cs="Arial"/>
          <w:b/>
          <w:bCs/>
        </w:rPr>
      </w:pPr>
      <w:r w:rsidRPr="001B4569">
        <w:rPr>
          <w:rFonts w:ascii="Arial" w:hAnsi="Arial" w:cs="Arial"/>
          <w:b/>
          <w:bCs/>
        </w:rPr>
        <w:t>19.4 Premium Payment Methods</w:t>
      </w:r>
    </w:p>
    <w:p w14:paraId="29731D90" w14:textId="1865BAB2" w:rsidR="00217546" w:rsidRPr="00370056" w:rsidRDefault="00217546" w:rsidP="00370056">
      <w:pPr>
        <w:rPr>
          <w:rFonts w:ascii="Arial" w:hAnsi="Arial" w:cs="Arial"/>
          <w:b/>
          <w:bCs/>
        </w:rPr>
      </w:pPr>
      <w:r w:rsidRPr="001B4569">
        <w:rPr>
          <w:rFonts w:ascii="Arial" w:hAnsi="Arial" w:cs="Arial"/>
          <w:sz w:val="20"/>
          <w:szCs w:val="20"/>
        </w:rPr>
        <w:t>Member can now pay ongoing premiums by credit or debit card</w:t>
      </w:r>
    </w:p>
    <w:p w14:paraId="4041EC10" w14:textId="77777777" w:rsidR="00217546" w:rsidRPr="001B4569" w:rsidRDefault="00217546" w:rsidP="00217546">
      <w:pPr>
        <w:pStyle w:val="NoSpacing"/>
        <w:rPr>
          <w:rFonts w:ascii="Arial" w:hAnsi="Arial" w:cs="Arial"/>
          <w:sz w:val="20"/>
          <w:szCs w:val="20"/>
        </w:rPr>
      </w:pPr>
    </w:p>
    <w:p w14:paraId="3C09F7FB" w14:textId="291507C9" w:rsidR="00217546" w:rsidRPr="001B4569" w:rsidRDefault="00217546" w:rsidP="00217546">
      <w:pPr>
        <w:pStyle w:val="NoSpacing"/>
        <w:rPr>
          <w:rFonts w:ascii="Arial" w:hAnsi="Arial" w:cs="Arial"/>
          <w:b/>
          <w:bCs/>
        </w:rPr>
      </w:pPr>
      <w:r w:rsidRPr="001B4569">
        <w:rPr>
          <w:rFonts w:ascii="Arial" w:hAnsi="Arial" w:cs="Arial"/>
          <w:b/>
          <w:bCs/>
        </w:rPr>
        <w:t>28.3. Unrecoverable Overpayments</w:t>
      </w:r>
    </w:p>
    <w:p w14:paraId="26D88416" w14:textId="77777777" w:rsidR="00121CB3" w:rsidRPr="001B4569" w:rsidRDefault="00121CB3" w:rsidP="00217546">
      <w:pPr>
        <w:pStyle w:val="NoSpacing"/>
        <w:rPr>
          <w:rFonts w:ascii="Arial" w:hAnsi="Arial" w:cs="Arial"/>
          <w:b/>
          <w:bCs/>
        </w:rPr>
      </w:pPr>
    </w:p>
    <w:p w14:paraId="657B2DAD" w14:textId="77777777" w:rsidR="00217546" w:rsidRPr="00370056" w:rsidRDefault="00217546" w:rsidP="00217546">
      <w:pPr>
        <w:pStyle w:val="NoSpacing"/>
        <w:rPr>
          <w:rFonts w:ascii="Arial" w:hAnsi="Arial" w:cs="Arial"/>
          <w:b/>
          <w:bCs/>
          <w:sz w:val="20"/>
        </w:rPr>
      </w:pPr>
      <w:r w:rsidRPr="00370056">
        <w:rPr>
          <w:rFonts w:ascii="Arial" w:hAnsi="Arial" w:cs="Arial"/>
          <w:b/>
          <w:bCs/>
          <w:color w:val="000000" w:themeColor="text1"/>
          <w:sz w:val="20"/>
        </w:rPr>
        <w:t>28.</w:t>
      </w:r>
      <w:r w:rsidRPr="00370056">
        <w:rPr>
          <w:rFonts w:ascii="Arial" w:hAnsi="Arial" w:cs="Arial"/>
          <w:b/>
          <w:bCs/>
          <w:sz w:val="20"/>
        </w:rPr>
        <w:t>3.5 Eligibility and Premium Determinations Based on Reasonable Compatibility</w:t>
      </w:r>
    </w:p>
    <w:p w14:paraId="11B80FAA" w14:textId="77777777" w:rsidR="00370056" w:rsidRDefault="00370056" w:rsidP="00217546">
      <w:pPr>
        <w:pStyle w:val="NoSpacing"/>
        <w:rPr>
          <w:rFonts w:ascii="Arial" w:hAnsi="Arial" w:cs="Arial"/>
          <w:b/>
          <w:bCs/>
        </w:rPr>
      </w:pPr>
    </w:p>
    <w:p w14:paraId="6C0343ED" w14:textId="77777777" w:rsidR="00217546" w:rsidRPr="001B4569" w:rsidRDefault="00217546" w:rsidP="00217546">
      <w:pPr>
        <w:pStyle w:val="NoSpacing"/>
        <w:rPr>
          <w:rFonts w:ascii="Arial" w:hAnsi="Arial" w:cs="Arial"/>
          <w:sz w:val="20"/>
          <w:szCs w:val="20"/>
        </w:rPr>
      </w:pPr>
      <w:r w:rsidRPr="001B4569">
        <w:rPr>
          <w:rFonts w:ascii="Arial" w:hAnsi="Arial" w:cs="Arial"/>
          <w:sz w:val="20"/>
          <w:szCs w:val="20"/>
        </w:rPr>
        <w:t>If a member is not required to verify their earned income at the eligibility or premium</w:t>
      </w:r>
    </w:p>
    <w:p w14:paraId="5451B9F5" w14:textId="77777777" w:rsidR="00217546" w:rsidRPr="001B4569" w:rsidRDefault="00217546" w:rsidP="00217546">
      <w:pPr>
        <w:pStyle w:val="NoSpacing"/>
        <w:rPr>
          <w:rFonts w:ascii="Arial" w:hAnsi="Arial" w:cs="Arial"/>
          <w:sz w:val="20"/>
          <w:szCs w:val="20"/>
        </w:rPr>
      </w:pPr>
      <w:r w:rsidRPr="001B4569">
        <w:rPr>
          <w:rFonts w:ascii="Arial" w:hAnsi="Arial" w:cs="Arial"/>
          <w:sz w:val="20"/>
          <w:szCs w:val="20"/>
        </w:rPr>
        <w:t>determination due to reasonable compatibility and then verifies their earned income at a</w:t>
      </w:r>
    </w:p>
    <w:p w14:paraId="5E57C458" w14:textId="77777777" w:rsidR="00217546" w:rsidRPr="001B4569" w:rsidRDefault="00217546" w:rsidP="00217546">
      <w:pPr>
        <w:pStyle w:val="NoSpacing"/>
        <w:rPr>
          <w:rFonts w:ascii="Arial" w:hAnsi="Arial" w:cs="Arial"/>
          <w:sz w:val="20"/>
          <w:szCs w:val="20"/>
        </w:rPr>
      </w:pPr>
      <w:r w:rsidRPr="001B4569">
        <w:rPr>
          <w:rFonts w:ascii="Arial" w:hAnsi="Arial" w:cs="Arial"/>
          <w:sz w:val="20"/>
          <w:szCs w:val="20"/>
        </w:rPr>
        <w:t>later date (for example, because verification is required for another program), the</w:t>
      </w:r>
    </w:p>
    <w:p w14:paraId="681443BA" w14:textId="77777777" w:rsidR="00217546" w:rsidRPr="001B4569" w:rsidRDefault="00217546" w:rsidP="00217546">
      <w:pPr>
        <w:pStyle w:val="NoSpacing"/>
        <w:rPr>
          <w:rFonts w:ascii="Arial" w:hAnsi="Arial" w:cs="Arial"/>
          <w:sz w:val="20"/>
          <w:szCs w:val="20"/>
        </w:rPr>
      </w:pPr>
      <w:r w:rsidRPr="001B4569">
        <w:rPr>
          <w:rFonts w:ascii="Arial" w:hAnsi="Arial" w:cs="Arial"/>
          <w:sz w:val="20"/>
          <w:szCs w:val="20"/>
        </w:rPr>
        <w:t>verified earnings must be used to determine eligibility and premium amounts. The</w:t>
      </w:r>
    </w:p>
    <w:p w14:paraId="6C7715A7" w14:textId="77777777" w:rsidR="00217546" w:rsidRPr="001B4569" w:rsidRDefault="00217546" w:rsidP="00217546">
      <w:pPr>
        <w:pStyle w:val="NoSpacing"/>
        <w:rPr>
          <w:rFonts w:ascii="Arial" w:hAnsi="Arial" w:cs="Arial"/>
          <w:sz w:val="20"/>
          <w:szCs w:val="20"/>
        </w:rPr>
      </w:pPr>
      <w:r w:rsidRPr="001B4569">
        <w:rPr>
          <w:rFonts w:ascii="Arial" w:hAnsi="Arial" w:cs="Arial"/>
          <w:sz w:val="20"/>
          <w:szCs w:val="20"/>
        </w:rPr>
        <w:t>member cannot be subject to an overpayment because the initial determination was</w:t>
      </w:r>
    </w:p>
    <w:p w14:paraId="2F8694C4" w14:textId="77777777" w:rsidR="00217546" w:rsidRPr="001B4569" w:rsidRDefault="00217546" w:rsidP="00217546">
      <w:pPr>
        <w:pStyle w:val="NoSpacing"/>
        <w:rPr>
          <w:rFonts w:ascii="Arial" w:hAnsi="Arial" w:cs="Arial"/>
          <w:sz w:val="20"/>
          <w:szCs w:val="20"/>
        </w:rPr>
      </w:pPr>
      <w:r w:rsidRPr="001B4569">
        <w:rPr>
          <w:rFonts w:ascii="Arial" w:hAnsi="Arial" w:cs="Arial"/>
          <w:sz w:val="20"/>
          <w:szCs w:val="20"/>
        </w:rPr>
        <w:t>based on income that was reasonably compatible with a data exchange.</w:t>
      </w:r>
    </w:p>
    <w:p w14:paraId="5905E8A9" w14:textId="77777777" w:rsidR="00217546" w:rsidRPr="001B4569" w:rsidRDefault="00217546" w:rsidP="00217546">
      <w:pPr>
        <w:pStyle w:val="NoSpacing"/>
        <w:rPr>
          <w:rFonts w:ascii="Arial" w:hAnsi="Arial" w:cs="Arial"/>
          <w:sz w:val="20"/>
          <w:szCs w:val="20"/>
        </w:rPr>
      </w:pPr>
      <w:r w:rsidRPr="001B4569">
        <w:rPr>
          <w:rFonts w:ascii="Arial" w:hAnsi="Arial" w:cs="Arial"/>
          <w:sz w:val="20"/>
          <w:szCs w:val="20"/>
        </w:rPr>
        <w:t>If a member is not required to verify their earned income at the eligibility or premium</w:t>
      </w:r>
    </w:p>
    <w:p w14:paraId="52BB83D8" w14:textId="77777777" w:rsidR="00217546" w:rsidRPr="001B4569" w:rsidRDefault="00217546" w:rsidP="00217546">
      <w:pPr>
        <w:pStyle w:val="NoSpacing"/>
        <w:rPr>
          <w:rFonts w:ascii="Arial" w:hAnsi="Arial" w:cs="Arial"/>
          <w:sz w:val="20"/>
          <w:szCs w:val="20"/>
        </w:rPr>
      </w:pPr>
      <w:r w:rsidRPr="001B4569">
        <w:rPr>
          <w:rFonts w:ascii="Arial" w:hAnsi="Arial" w:cs="Arial"/>
          <w:sz w:val="20"/>
          <w:szCs w:val="20"/>
        </w:rPr>
        <w:t>determination due to reasonable compatibility and subsequently fails to report a</w:t>
      </w:r>
    </w:p>
    <w:p w14:paraId="7EBDD73F" w14:textId="77777777" w:rsidR="00217546" w:rsidRPr="001B4569" w:rsidRDefault="00217546" w:rsidP="00217546">
      <w:pPr>
        <w:pStyle w:val="NoSpacing"/>
        <w:rPr>
          <w:rFonts w:ascii="Arial" w:hAnsi="Arial" w:cs="Arial"/>
          <w:sz w:val="20"/>
          <w:szCs w:val="20"/>
        </w:rPr>
      </w:pPr>
      <w:r w:rsidRPr="001B4569">
        <w:rPr>
          <w:rFonts w:ascii="Arial" w:hAnsi="Arial" w:cs="Arial"/>
          <w:sz w:val="20"/>
          <w:szCs w:val="20"/>
        </w:rPr>
        <w:t>required income change, the member can only be subject to an overpayment if their</w:t>
      </w:r>
    </w:p>
    <w:p w14:paraId="53F78DA9" w14:textId="77777777" w:rsidR="00217546" w:rsidRPr="001B4569" w:rsidRDefault="00217546" w:rsidP="00217546">
      <w:pPr>
        <w:pStyle w:val="NoSpacing"/>
        <w:rPr>
          <w:rFonts w:ascii="Arial" w:hAnsi="Arial" w:cs="Arial"/>
          <w:sz w:val="20"/>
          <w:szCs w:val="20"/>
        </w:rPr>
      </w:pPr>
      <w:r w:rsidRPr="001B4569">
        <w:rPr>
          <w:rFonts w:ascii="Arial" w:hAnsi="Arial" w:cs="Arial"/>
          <w:sz w:val="20"/>
          <w:szCs w:val="20"/>
        </w:rPr>
        <w:t>new income amount is more than 20% greater than the total income amount that was</w:t>
      </w:r>
    </w:p>
    <w:p w14:paraId="5B027D4F" w14:textId="77777777" w:rsidR="00217546" w:rsidRPr="001B4569" w:rsidRDefault="00217546" w:rsidP="00217546">
      <w:pPr>
        <w:pStyle w:val="NoSpacing"/>
        <w:rPr>
          <w:rFonts w:ascii="Arial" w:hAnsi="Arial" w:cs="Arial"/>
          <w:sz w:val="20"/>
          <w:szCs w:val="20"/>
        </w:rPr>
      </w:pPr>
      <w:r w:rsidRPr="001B4569">
        <w:rPr>
          <w:rFonts w:ascii="Arial" w:hAnsi="Arial" w:cs="Arial"/>
          <w:sz w:val="20"/>
          <w:szCs w:val="20"/>
        </w:rPr>
        <w:t>used to make the eligibility or premium determination.</w:t>
      </w:r>
    </w:p>
    <w:p w14:paraId="098E35A4" w14:textId="77777777" w:rsidR="00217546" w:rsidRPr="001B4569" w:rsidRDefault="00217546" w:rsidP="00217546">
      <w:pPr>
        <w:pStyle w:val="NoSpacing"/>
        <w:rPr>
          <w:rFonts w:ascii="Arial" w:hAnsi="Arial" w:cs="Arial"/>
          <w:sz w:val="20"/>
          <w:szCs w:val="20"/>
        </w:rPr>
      </w:pPr>
    </w:p>
    <w:p w14:paraId="2FAC844F" w14:textId="77777777" w:rsidR="00217546" w:rsidRPr="001B4569" w:rsidRDefault="00217546" w:rsidP="00217546">
      <w:pPr>
        <w:pStyle w:val="NoSpacing"/>
        <w:rPr>
          <w:rFonts w:ascii="Arial" w:hAnsi="Arial" w:cs="Arial"/>
          <w:b/>
          <w:bCs/>
        </w:rPr>
      </w:pPr>
      <w:r w:rsidRPr="001B4569">
        <w:rPr>
          <w:rFonts w:ascii="Arial" w:hAnsi="Arial" w:cs="Arial"/>
          <w:b/>
          <w:bCs/>
        </w:rPr>
        <w:t>38.4.3 Open Enrollment and Lock-in Periods</w:t>
      </w:r>
    </w:p>
    <w:p w14:paraId="085C993A" w14:textId="77777777" w:rsidR="00217546" w:rsidRPr="001B4569" w:rsidRDefault="00217546" w:rsidP="00217546">
      <w:pPr>
        <w:pStyle w:val="NoSpacing"/>
        <w:rPr>
          <w:rFonts w:ascii="Arial" w:hAnsi="Arial" w:cs="Arial"/>
          <w:b/>
          <w:bCs/>
        </w:rPr>
      </w:pPr>
    </w:p>
    <w:p w14:paraId="636F0755" w14:textId="77777777" w:rsidR="00217546" w:rsidRPr="001B4569" w:rsidRDefault="00217546" w:rsidP="00217546">
      <w:pPr>
        <w:pStyle w:val="NoSpacing"/>
        <w:rPr>
          <w:rFonts w:ascii="Arial" w:hAnsi="Arial" w:cs="Arial"/>
          <w:sz w:val="20"/>
          <w:szCs w:val="20"/>
        </w:rPr>
      </w:pPr>
      <w:r w:rsidRPr="001B4569">
        <w:rPr>
          <w:rFonts w:ascii="Arial" w:hAnsi="Arial" w:cs="Arial"/>
          <w:sz w:val="20"/>
          <w:szCs w:val="20"/>
        </w:rPr>
        <w:t>Once a member has been assigned to an HMO, they will have a three-month open</w:t>
      </w:r>
    </w:p>
    <w:p w14:paraId="357929BC" w14:textId="77777777" w:rsidR="00217546" w:rsidRPr="001B4569" w:rsidRDefault="00217546" w:rsidP="00217546">
      <w:pPr>
        <w:pStyle w:val="NoSpacing"/>
        <w:rPr>
          <w:rFonts w:ascii="Arial" w:hAnsi="Arial" w:cs="Arial"/>
          <w:sz w:val="20"/>
          <w:szCs w:val="20"/>
        </w:rPr>
      </w:pPr>
      <w:r w:rsidRPr="001B4569">
        <w:rPr>
          <w:rFonts w:ascii="Arial" w:hAnsi="Arial" w:cs="Arial"/>
          <w:sz w:val="20"/>
          <w:szCs w:val="20"/>
        </w:rPr>
        <w:t>enrollment period beginning from their initial HMO enrollment date in which they can</w:t>
      </w:r>
    </w:p>
    <w:p w14:paraId="0442F3AF" w14:textId="77777777" w:rsidR="00217546" w:rsidRPr="001B4569" w:rsidRDefault="00217546" w:rsidP="00217546">
      <w:pPr>
        <w:pStyle w:val="NoSpacing"/>
        <w:rPr>
          <w:rFonts w:ascii="Arial" w:hAnsi="Arial" w:cs="Arial"/>
          <w:sz w:val="20"/>
          <w:szCs w:val="20"/>
        </w:rPr>
      </w:pPr>
      <w:r w:rsidRPr="001B4569">
        <w:rPr>
          <w:rFonts w:ascii="Arial" w:hAnsi="Arial" w:cs="Arial"/>
          <w:sz w:val="20"/>
          <w:szCs w:val="20"/>
        </w:rPr>
        <w:t>change HMOs freely. After the three-month open enrollment period, the member enters</w:t>
      </w:r>
    </w:p>
    <w:p w14:paraId="178B20A5" w14:textId="77777777" w:rsidR="00217546" w:rsidRPr="001B4569" w:rsidRDefault="00217546" w:rsidP="00217546">
      <w:pPr>
        <w:pStyle w:val="NoSpacing"/>
        <w:rPr>
          <w:rFonts w:ascii="Arial" w:hAnsi="Arial" w:cs="Arial"/>
          <w:sz w:val="20"/>
          <w:szCs w:val="20"/>
        </w:rPr>
      </w:pPr>
      <w:r w:rsidRPr="001B4569">
        <w:rPr>
          <w:rFonts w:ascii="Arial" w:hAnsi="Arial" w:cs="Arial"/>
          <w:sz w:val="20"/>
          <w:szCs w:val="20"/>
        </w:rPr>
        <w:t>a lock-in period for nine months. During the lock-in period, they cannot change HMOs or</w:t>
      </w:r>
    </w:p>
    <w:p w14:paraId="4F7029E4" w14:textId="77777777" w:rsidR="00217546" w:rsidRPr="001B4569" w:rsidRDefault="00217546" w:rsidP="00217546">
      <w:pPr>
        <w:pStyle w:val="NoSpacing"/>
        <w:rPr>
          <w:rFonts w:ascii="Arial" w:hAnsi="Arial" w:cs="Arial"/>
          <w:sz w:val="20"/>
          <w:szCs w:val="20"/>
        </w:rPr>
      </w:pPr>
      <w:r w:rsidRPr="001B4569">
        <w:rPr>
          <w:rFonts w:ascii="Arial" w:hAnsi="Arial" w:cs="Arial"/>
          <w:sz w:val="20"/>
          <w:szCs w:val="20"/>
        </w:rPr>
        <w:t>disenroll from the HMO without a qualifying reason such as an exemption or a change</w:t>
      </w:r>
    </w:p>
    <w:p w14:paraId="03590A2F" w14:textId="1D03E267" w:rsidR="00217546" w:rsidRPr="001B4569" w:rsidRDefault="00217546" w:rsidP="00217546">
      <w:pPr>
        <w:spacing w:line="259" w:lineRule="auto"/>
        <w:rPr>
          <w:rFonts w:ascii="Arial" w:hAnsi="Arial" w:cs="Arial"/>
          <w:b/>
        </w:rPr>
      </w:pPr>
      <w:r w:rsidRPr="001B4569">
        <w:rPr>
          <w:rFonts w:ascii="Arial" w:hAnsi="Arial" w:cs="Arial"/>
          <w:sz w:val="20"/>
          <w:szCs w:val="20"/>
        </w:rPr>
        <w:t>to an enrollment status that does not require HMO enrollment</w:t>
      </w:r>
    </w:p>
    <w:p w14:paraId="5AC543DD" w14:textId="77777777" w:rsidR="00B22B23" w:rsidRPr="001B4569" w:rsidRDefault="00B22B23" w:rsidP="00596A5A">
      <w:pPr>
        <w:shd w:val="clear" w:color="auto" w:fill="FFFFFF"/>
        <w:spacing w:after="0" w:line="233" w:lineRule="atLeast"/>
        <w:rPr>
          <w:rFonts w:ascii="Arial" w:eastAsia="Times New Roman" w:hAnsi="Arial" w:cs="Arial"/>
          <w:b/>
          <w:bCs/>
          <w:color w:val="000000"/>
          <w:u w:val="single"/>
          <w:bdr w:val="none" w:sz="0" w:space="0" w:color="auto" w:frame="1"/>
        </w:rPr>
      </w:pPr>
    </w:p>
    <w:p w14:paraId="2724BE48" w14:textId="77777777" w:rsidR="00121CB3" w:rsidRPr="001B4569" w:rsidRDefault="00A81C5D" w:rsidP="00596A5A">
      <w:pPr>
        <w:shd w:val="clear" w:color="auto" w:fill="FFFFFF"/>
        <w:spacing w:after="0" w:line="233" w:lineRule="atLeast"/>
        <w:rPr>
          <w:rFonts w:ascii="Arial" w:eastAsia="Times New Roman" w:hAnsi="Arial" w:cs="Arial"/>
          <w:b/>
          <w:bCs/>
          <w:color w:val="000000"/>
          <w:bdr w:val="none" w:sz="0" w:space="0" w:color="auto" w:frame="1"/>
        </w:rPr>
      </w:pPr>
      <w:r w:rsidRPr="001B4569">
        <w:rPr>
          <w:rFonts w:ascii="Arial" w:eastAsia="Times New Roman" w:hAnsi="Arial" w:cs="Arial"/>
          <w:b/>
          <w:bCs/>
          <w:color w:val="000000"/>
          <w:u w:val="single"/>
          <w:bdr w:val="none" w:sz="0" w:space="0" w:color="auto" w:frame="1"/>
        </w:rPr>
        <w:t xml:space="preserve">Medicaid </w:t>
      </w:r>
      <w:r w:rsidR="00596A5A" w:rsidRPr="001B4569">
        <w:rPr>
          <w:rFonts w:ascii="Arial" w:eastAsia="Times New Roman" w:hAnsi="Arial" w:cs="Arial"/>
          <w:b/>
          <w:bCs/>
          <w:color w:val="000000"/>
          <w:u w:val="single"/>
          <w:bdr w:val="none" w:sz="0" w:space="0" w:color="auto" w:frame="1"/>
        </w:rPr>
        <w:t>Eligibility Handbook Release 22-</w:t>
      </w:r>
      <w:r w:rsidR="00B22B23" w:rsidRPr="001B4569">
        <w:rPr>
          <w:rFonts w:ascii="Arial" w:eastAsia="Times New Roman" w:hAnsi="Arial" w:cs="Arial"/>
          <w:b/>
          <w:bCs/>
          <w:color w:val="000000"/>
          <w:u w:val="single"/>
          <w:bdr w:val="none" w:sz="0" w:space="0" w:color="auto" w:frame="1"/>
        </w:rPr>
        <w:t>02</w:t>
      </w:r>
      <w:r w:rsidR="001F66A9" w:rsidRPr="001B4569">
        <w:rPr>
          <w:rFonts w:ascii="Arial" w:eastAsia="Times New Roman" w:hAnsi="Arial" w:cs="Arial"/>
          <w:b/>
          <w:bCs/>
          <w:color w:val="000000"/>
          <w:bdr w:val="none" w:sz="0" w:space="0" w:color="auto" w:frame="1"/>
        </w:rPr>
        <w:t xml:space="preserve"> </w:t>
      </w:r>
    </w:p>
    <w:p w14:paraId="6D49DA11" w14:textId="5B500034" w:rsidR="00596A5A" w:rsidRPr="001B4569" w:rsidRDefault="001F66A9" w:rsidP="00596A5A">
      <w:pPr>
        <w:shd w:val="clear" w:color="auto" w:fill="FFFFFF"/>
        <w:spacing w:after="0" w:line="233" w:lineRule="atLeast"/>
        <w:rPr>
          <w:rFonts w:ascii="Arial" w:eastAsia="Times New Roman" w:hAnsi="Arial" w:cs="Arial"/>
          <w:bCs/>
          <w:color w:val="000000"/>
          <w:bdr w:val="none" w:sz="0" w:space="0" w:color="auto" w:frame="1"/>
        </w:rPr>
      </w:pPr>
      <w:r w:rsidRPr="001B4569">
        <w:rPr>
          <w:rFonts w:ascii="Arial" w:eastAsia="Times New Roman" w:hAnsi="Arial" w:cs="Arial"/>
          <w:b/>
          <w:bCs/>
          <w:color w:val="000000"/>
          <w:bdr w:val="none" w:sz="0" w:space="0" w:color="auto" w:frame="1"/>
        </w:rPr>
        <w:t>Presented</w:t>
      </w:r>
      <w:r w:rsidR="00596A5A" w:rsidRPr="001B4569">
        <w:rPr>
          <w:rFonts w:ascii="Arial" w:eastAsia="Times New Roman" w:hAnsi="Arial" w:cs="Arial"/>
          <w:bCs/>
          <w:color w:val="000000"/>
          <w:bdr w:val="none" w:sz="0" w:space="0" w:color="auto" w:frame="1"/>
        </w:rPr>
        <w:t xml:space="preserve"> by Kathy King</w:t>
      </w:r>
      <w:r w:rsidR="00B22B23" w:rsidRPr="001B4569">
        <w:rPr>
          <w:rFonts w:ascii="Arial" w:eastAsia="Times New Roman" w:hAnsi="Arial" w:cs="Arial"/>
          <w:bCs/>
          <w:color w:val="000000"/>
          <w:bdr w:val="none" w:sz="0" w:space="0" w:color="auto" w:frame="1"/>
        </w:rPr>
        <w:t xml:space="preserve"> and Erin Heiman</w:t>
      </w:r>
    </w:p>
    <w:p w14:paraId="40909ACE" w14:textId="77777777" w:rsidR="00596A5A" w:rsidRPr="001B4569" w:rsidRDefault="00596A5A" w:rsidP="00A81C5D">
      <w:pPr>
        <w:shd w:val="clear" w:color="auto" w:fill="FFFFFF"/>
        <w:spacing w:after="0" w:line="233" w:lineRule="atLeast"/>
        <w:rPr>
          <w:rFonts w:ascii="Arial" w:eastAsia="Times New Roman" w:hAnsi="Arial" w:cs="Arial"/>
          <w:bCs/>
          <w:color w:val="000000"/>
          <w:bdr w:val="none" w:sz="0" w:space="0" w:color="auto" w:frame="1"/>
        </w:rPr>
      </w:pPr>
    </w:p>
    <w:p w14:paraId="4980BF6D" w14:textId="5D3DADCB" w:rsidR="00121CB3" w:rsidRPr="001B4569" w:rsidRDefault="00596A5A" w:rsidP="00A81C5D">
      <w:pPr>
        <w:shd w:val="clear" w:color="auto" w:fill="FFFFFF"/>
        <w:spacing w:after="0" w:line="233" w:lineRule="atLeast"/>
        <w:rPr>
          <w:rFonts w:ascii="Arial" w:eastAsia="Times New Roman" w:hAnsi="Arial" w:cs="Arial"/>
          <w:b/>
          <w:bCs/>
          <w:color w:val="000000"/>
          <w:bdr w:val="none" w:sz="0" w:space="0" w:color="auto" w:frame="1"/>
        </w:rPr>
      </w:pPr>
      <w:r w:rsidRPr="001B4569">
        <w:rPr>
          <w:rFonts w:ascii="Arial" w:eastAsia="Times New Roman" w:hAnsi="Arial" w:cs="Arial"/>
          <w:b/>
          <w:bCs/>
          <w:color w:val="000000"/>
          <w:bdr w:val="none" w:sz="0" w:space="0" w:color="auto" w:frame="1"/>
        </w:rPr>
        <w:t>Release D</w:t>
      </w:r>
      <w:r w:rsidR="00A81C5D" w:rsidRPr="001B4569">
        <w:rPr>
          <w:rFonts w:ascii="Arial" w:eastAsia="Times New Roman" w:hAnsi="Arial" w:cs="Arial"/>
          <w:b/>
          <w:bCs/>
          <w:color w:val="000000"/>
          <w:bdr w:val="none" w:sz="0" w:space="0" w:color="auto" w:frame="1"/>
        </w:rPr>
        <w:t>ate</w:t>
      </w:r>
      <w:r w:rsidR="00B22B23" w:rsidRPr="001B4569">
        <w:rPr>
          <w:rFonts w:ascii="Arial" w:eastAsia="Times New Roman" w:hAnsi="Arial" w:cs="Arial"/>
          <w:b/>
          <w:bCs/>
          <w:color w:val="000000"/>
          <w:bdr w:val="none" w:sz="0" w:space="0" w:color="auto" w:frame="1"/>
        </w:rPr>
        <w:t>/Effective Date:</w:t>
      </w:r>
      <w:r w:rsidR="00121CB3" w:rsidRPr="001B4569">
        <w:rPr>
          <w:rFonts w:ascii="Arial" w:eastAsia="Times New Roman" w:hAnsi="Arial" w:cs="Arial"/>
          <w:b/>
          <w:bCs/>
          <w:color w:val="000000"/>
          <w:bdr w:val="none" w:sz="0" w:space="0" w:color="auto" w:frame="1"/>
        </w:rPr>
        <w:t xml:space="preserve"> 08/01/2022</w:t>
      </w:r>
    </w:p>
    <w:p w14:paraId="0EB939A1" w14:textId="77777777" w:rsidR="00121CB3" w:rsidRPr="001B4569" w:rsidRDefault="00121CB3" w:rsidP="00A81C5D">
      <w:pPr>
        <w:shd w:val="clear" w:color="auto" w:fill="FFFFFF"/>
        <w:spacing w:after="0" w:line="233" w:lineRule="atLeast"/>
        <w:rPr>
          <w:rFonts w:ascii="Arial" w:eastAsia="Times New Roman" w:hAnsi="Arial" w:cs="Arial"/>
          <w:b/>
          <w:bCs/>
          <w:color w:val="000000"/>
          <w:bdr w:val="none" w:sz="0" w:space="0" w:color="auto" w:frame="1"/>
        </w:rPr>
      </w:pPr>
    </w:p>
    <w:p w14:paraId="18159D71" w14:textId="77777777" w:rsidR="00121CB3" w:rsidRPr="001B4569" w:rsidRDefault="00121CB3" w:rsidP="00121CB3">
      <w:pPr>
        <w:rPr>
          <w:rFonts w:ascii="Arial" w:hAnsi="Arial" w:cs="Arial"/>
          <w:b/>
          <w:bCs/>
        </w:rPr>
      </w:pPr>
      <w:r w:rsidRPr="001B4569">
        <w:rPr>
          <w:rFonts w:ascii="Arial" w:hAnsi="Arial" w:cs="Arial"/>
          <w:b/>
          <w:bCs/>
        </w:rPr>
        <w:t xml:space="preserve">7.3.3.3 Iraqis and Afghans with Special Immigrant Status </w:t>
      </w:r>
    </w:p>
    <w:p w14:paraId="1045A7A2" w14:textId="77777777" w:rsidR="00121CB3" w:rsidRPr="001B4569" w:rsidRDefault="00121CB3" w:rsidP="00121CB3">
      <w:pPr>
        <w:rPr>
          <w:rFonts w:ascii="Arial" w:hAnsi="Arial" w:cs="Arial"/>
          <w:b/>
          <w:bCs/>
        </w:rPr>
      </w:pPr>
      <w:r w:rsidRPr="001B4569">
        <w:rPr>
          <w:rFonts w:ascii="Arial" w:hAnsi="Arial" w:cs="Arial"/>
          <w:b/>
          <w:bCs/>
        </w:rPr>
        <w:t>7.3.3.4 Afghan Parolees</w:t>
      </w:r>
    </w:p>
    <w:p w14:paraId="5B3CB270" w14:textId="77777777" w:rsidR="00121CB3" w:rsidRPr="001B4569" w:rsidRDefault="00121CB3" w:rsidP="00121CB3">
      <w:pPr>
        <w:rPr>
          <w:rFonts w:ascii="Arial" w:hAnsi="Arial" w:cs="Arial"/>
          <w:sz w:val="20"/>
          <w:szCs w:val="20"/>
        </w:rPr>
      </w:pPr>
      <w:r w:rsidRPr="001B4569">
        <w:rPr>
          <w:rFonts w:ascii="Arial" w:hAnsi="Arial" w:cs="Arial"/>
          <w:sz w:val="20"/>
          <w:szCs w:val="20"/>
        </w:rPr>
        <w:t>Section was added regarding Special Immigrants and Parolees from Iraq or Afghanistan treated like refugees.  Please refer to MEH for processing updates.</w:t>
      </w:r>
    </w:p>
    <w:p w14:paraId="63EDCF73" w14:textId="77777777" w:rsidR="001B4569" w:rsidRDefault="001B4569" w:rsidP="00121CB3">
      <w:pPr>
        <w:rPr>
          <w:rFonts w:ascii="Arial" w:hAnsi="Arial" w:cs="Arial"/>
          <w:b/>
          <w:bCs/>
        </w:rPr>
      </w:pPr>
    </w:p>
    <w:p w14:paraId="22413810" w14:textId="77777777" w:rsidR="00370056" w:rsidRDefault="00370056" w:rsidP="00121CB3">
      <w:pPr>
        <w:rPr>
          <w:rFonts w:ascii="Arial" w:hAnsi="Arial" w:cs="Arial"/>
          <w:b/>
          <w:bCs/>
        </w:rPr>
      </w:pPr>
    </w:p>
    <w:p w14:paraId="4296628E" w14:textId="77777777" w:rsidR="00121CB3" w:rsidRPr="001B4569" w:rsidRDefault="00121CB3" w:rsidP="00121CB3">
      <w:pPr>
        <w:rPr>
          <w:rFonts w:ascii="Arial" w:hAnsi="Arial" w:cs="Arial"/>
          <w:b/>
          <w:bCs/>
        </w:rPr>
      </w:pPr>
      <w:r w:rsidRPr="001B4569">
        <w:rPr>
          <w:rFonts w:ascii="Arial" w:hAnsi="Arial" w:cs="Arial"/>
          <w:b/>
          <w:bCs/>
        </w:rPr>
        <w:t>15.3 Exempt/Disregarded Income</w:t>
      </w:r>
    </w:p>
    <w:p w14:paraId="1E4FC2B2" w14:textId="77777777" w:rsidR="00121CB3" w:rsidRPr="00370056" w:rsidRDefault="00121CB3" w:rsidP="00121CB3">
      <w:pPr>
        <w:rPr>
          <w:rFonts w:ascii="Arial" w:hAnsi="Arial" w:cs="Arial"/>
          <w:b/>
          <w:bCs/>
          <w:sz w:val="20"/>
        </w:rPr>
      </w:pPr>
      <w:r w:rsidRPr="00370056">
        <w:rPr>
          <w:rFonts w:ascii="Arial" w:hAnsi="Arial" w:cs="Arial"/>
          <w:b/>
          <w:bCs/>
          <w:sz w:val="20"/>
        </w:rPr>
        <w:t>15.3.31 Cash and In-Kind Items Received in Conjunction with Medical and Social Services</w:t>
      </w:r>
    </w:p>
    <w:p w14:paraId="74ECE9B9" w14:textId="77777777" w:rsidR="00121CB3" w:rsidRPr="001B4569" w:rsidRDefault="00121CB3" w:rsidP="00121CB3">
      <w:pPr>
        <w:rPr>
          <w:rFonts w:ascii="Arial" w:hAnsi="Arial" w:cs="Arial"/>
          <w:sz w:val="20"/>
          <w:szCs w:val="20"/>
        </w:rPr>
      </w:pPr>
      <w:r w:rsidRPr="001B4569">
        <w:rPr>
          <w:rFonts w:ascii="Arial" w:hAnsi="Arial" w:cs="Arial"/>
          <w:sz w:val="20"/>
          <w:szCs w:val="20"/>
        </w:rPr>
        <w:t>The treatment of cash and in-kind items received in conjunction with medical and social services depends on whether they are provided by a governmental or nongovernmental organization. To be considered governmental, the program must be authorized by federal, state, or local law, statute, or ordinance to provide medical or social services</w:t>
      </w:r>
    </w:p>
    <w:p w14:paraId="3FCF4DDA" w14:textId="77777777" w:rsidR="00121CB3" w:rsidRPr="001B4569" w:rsidRDefault="00121CB3" w:rsidP="00121CB3">
      <w:pPr>
        <w:rPr>
          <w:rFonts w:ascii="Arial" w:hAnsi="Arial" w:cs="Arial"/>
          <w:sz w:val="20"/>
          <w:szCs w:val="20"/>
        </w:rPr>
      </w:pPr>
      <w:r w:rsidRPr="001B4569">
        <w:rPr>
          <w:rFonts w:ascii="Arial" w:hAnsi="Arial" w:cs="Arial"/>
          <w:sz w:val="20"/>
          <w:szCs w:val="20"/>
        </w:rPr>
        <w:t>Disregard any cash provided by a governmental medical or social services program. Disregard in-kind items (including food or shelter) provided by a governmental medical or social services program unless the items are provided as payment for sheltered employment or as incentive payments</w:t>
      </w:r>
    </w:p>
    <w:p w14:paraId="0EEA708D" w14:textId="77777777" w:rsidR="00121CB3" w:rsidRPr="001B4569" w:rsidRDefault="00121CB3" w:rsidP="00121CB3">
      <w:pPr>
        <w:rPr>
          <w:rFonts w:ascii="Arial" w:hAnsi="Arial" w:cs="Arial"/>
          <w:sz w:val="20"/>
          <w:szCs w:val="20"/>
        </w:rPr>
      </w:pPr>
      <w:r w:rsidRPr="001B4569">
        <w:rPr>
          <w:rFonts w:ascii="Arial" w:hAnsi="Arial" w:cs="Arial"/>
          <w:sz w:val="20"/>
          <w:szCs w:val="20"/>
        </w:rPr>
        <w:t xml:space="preserve">For cash and in-kind items provided by a nongovernmental medical or social services organization, disregard the following: </w:t>
      </w:r>
    </w:p>
    <w:p w14:paraId="52EC8838" w14:textId="3B108632" w:rsidR="00121CB3" w:rsidRPr="001B4569" w:rsidRDefault="00121CB3" w:rsidP="00370056">
      <w:pPr>
        <w:pStyle w:val="NoSpacing"/>
        <w:numPr>
          <w:ilvl w:val="0"/>
          <w:numId w:val="13"/>
        </w:numPr>
        <w:rPr>
          <w:rFonts w:ascii="Arial" w:hAnsi="Arial" w:cs="Arial"/>
          <w:sz w:val="20"/>
          <w:szCs w:val="20"/>
        </w:rPr>
      </w:pPr>
      <w:r w:rsidRPr="001B4569">
        <w:rPr>
          <w:rFonts w:ascii="Arial" w:hAnsi="Arial" w:cs="Arial"/>
          <w:sz w:val="20"/>
          <w:szCs w:val="20"/>
        </w:rPr>
        <w:t xml:space="preserve">Room and board provided during an inpatient stay. </w:t>
      </w:r>
    </w:p>
    <w:p w14:paraId="5732B29F" w14:textId="03F8F17A" w:rsidR="00121CB3" w:rsidRPr="001B4569" w:rsidRDefault="00121CB3" w:rsidP="00370056">
      <w:pPr>
        <w:pStyle w:val="NoSpacing"/>
        <w:numPr>
          <w:ilvl w:val="0"/>
          <w:numId w:val="13"/>
        </w:numPr>
        <w:rPr>
          <w:rFonts w:ascii="Arial" w:hAnsi="Arial" w:cs="Arial"/>
          <w:sz w:val="20"/>
          <w:szCs w:val="20"/>
        </w:rPr>
      </w:pPr>
      <w:r w:rsidRPr="001B4569">
        <w:rPr>
          <w:rFonts w:ascii="Arial" w:hAnsi="Arial" w:cs="Arial"/>
          <w:sz w:val="20"/>
          <w:szCs w:val="20"/>
        </w:rPr>
        <w:t xml:space="preserve">In-kind items (other than food or shelter) provided for medical or social services purposes. Food or shelter is not exempt unless excluded under some other provision (such as room and board provided during an inpatient stay). </w:t>
      </w:r>
    </w:p>
    <w:p w14:paraId="16C95027" w14:textId="77777777" w:rsidR="00370056" w:rsidRDefault="00121CB3" w:rsidP="00370056">
      <w:pPr>
        <w:pStyle w:val="NoSpacing"/>
        <w:numPr>
          <w:ilvl w:val="0"/>
          <w:numId w:val="13"/>
        </w:numPr>
        <w:rPr>
          <w:rFonts w:ascii="Arial" w:hAnsi="Arial" w:cs="Arial"/>
          <w:sz w:val="20"/>
          <w:szCs w:val="20"/>
        </w:rPr>
      </w:pPr>
      <w:r w:rsidRPr="001B4569">
        <w:rPr>
          <w:rFonts w:ascii="Arial" w:hAnsi="Arial" w:cs="Arial"/>
          <w:sz w:val="20"/>
          <w:szCs w:val="20"/>
        </w:rPr>
        <w:t xml:space="preserve">Cash, if either of the following conditions is met: </w:t>
      </w:r>
    </w:p>
    <w:p w14:paraId="7E77385B" w14:textId="77777777" w:rsidR="00370056" w:rsidRDefault="00121CB3" w:rsidP="00370056">
      <w:pPr>
        <w:pStyle w:val="NoSpacing"/>
        <w:numPr>
          <w:ilvl w:val="1"/>
          <w:numId w:val="13"/>
        </w:numPr>
        <w:rPr>
          <w:rFonts w:ascii="Arial" w:hAnsi="Arial" w:cs="Arial"/>
          <w:sz w:val="20"/>
          <w:szCs w:val="20"/>
        </w:rPr>
      </w:pPr>
      <w:r w:rsidRPr="00370056">
        <w:rPr>
          <w:rFonts w:ascii="Arial" w:hAnsi="Arial" w:cs="Arial"/>
          <w:sz w:val="20"/>
          <w:szCs w:val="20"/>
        </w:rPr>
        <w:t>The cash is for approved medical or so</w:t>
      </w:r>
      <w:r w:rsidR="00370056">
        <w:rPr>
          <w:rFonts w:ascii="Arial" w:hAnsi="Arial" w:cs="Arial"/>
          <w:sz w:val="20"/>
          <w:szCs w:val="20"/>
        </w:rPr>
        <w:t>cial services already received.</w:t>
      </w:r>
    </w:p>
    <w:p w14:paraId="6C38342D" w14:textId="3EB9E4DC" w:rsidR="00121CB3" w:rsidRPr="00370056" w:rsidRDefault="00121CB3" w:rsidP="00370056">
      <w:pPr>
        <w:pStyle w:val="NoSpacing"/>
        <w:numPr>
          <w:ilvl w:val="1"/>
          <w:numId w:val="13"/>
        </w:numPr>
        <w:rPr>
          <w:rFonts w:ascii="Arial" w:hAnsi="Arial" w:cs="Arial"/>
          <w:sz w:val="20"/>
          <w:szCs w:val="20"/>
        </w:rPr>
      </w:pPr>
      <w:r w:rsidRPr="00370056">
        <w:rPr>
          <w:rFonts w:ascii="Arial" w:hAnsi="Arial" w:cs="Arial"/>
          <w:sz w:val="20"/>
          <w:szCs w:val="20"/>
        </w:rPr>
        <w:t>The cash is only for the future purchase of medical- or social service-related items</w:t>
      </w:r>
    </w:p>
    <w:p w14:paraId="1265BE31" w14:textId="77777777" w:rsidR="001B4569" w:rsidRDefault="001B4569" w:rsidP="00121CB3">
      <w:pPr>
        <w:rPr>
          <w:rFonts w:ascii="Arial" w:hAnsi="Arial" w:cs="Arial"/>
          <w:b/>
          <w:bCs/>
        </w:rPr>
      </w:pPr>
    </w:p>
    <w:p w14:paraId="1E8BB510" w14:textId="77777777" w:rsidR="00121CB3" w:rsidRPr="001B4569" w:rsidRDefault="00121CB3" w:rsidP="00121CB3">
      <w:pPr>
        <w:rPr>
          <w:rFonts w:ascii="Arial" w:hAnsi="Arial" w:cs="Arial"/>
          <w:b/>
          <w:bCs/>
        </w:rPr>
      </w:pPr>
      <w:r w:rsidRPr="001B4569">
        <w:rPr>
          <w:rFonts w:ascii="Arial" w:hAnsi="Arial" w:cs="Arial"/>
          <w:b/>
          <w:bCs/>
        </w:rPr>
        <w:t>15.4 Unearned Income</w:t>
      </w:r>
    </w:p>
    <w:p w14:paraId="70ADEC58" w14:textId="77777777" w:rsidR="00121CB3" w:rsidRPr="00370056" w:rsidRDefault="00121CB3" w:rsidP="00370056">
      <w:pPr>
        <w:rPr>
          <w:rFonts w:ascii="Arial" w:hAnsi="Arial" w:cs="Arial"/>
          <w:b/>
          <w:bCs/>
          <w:sz w:val="20"/>
        </w:rPr>
      </w:pPr>
      <w:r w:rsidRPr="00370056">
        <w:rPr>
          <w:rFonts w:ascii="Arial" w:hAnsi="Arial" w:cs="Arial"/>
          <w:b/>
          <w:bCs/>
          <w:sz w:val="20"/>
        </w:rPr>
        <w:t>15.4.26 Virtual Currency</w:t>
      </w:r>
    </w:p>
    <w:p w14:paraId="5B50DB63" w14:textId="77777777" w:rsidR="00121CB3" w:rsidRPr="001B4569" w:rsidRDefault="00121CB3" w:rsidP="00121CB3">
      <w:pPr>
        <w:rPr>
          <w:rFonts w:ascii="Arial" w:hAnsi="Arial" w:cs="Arial"/>
          <w:sz w:val="20"/>
          <w:szCs w:val="20"/>
        </w:rPr>
      </w:pPr>
      <w:r w:rsidRPr="001B4569">
        <w:rPr>
          <w:rFonts w:ascii="Arial" w:hAnsi="Arial" w:cs="Arial"/>
          <w:sz w:val="20"/>
          <w:szCs w:val="20"/>
        </w:rPr>
        <w:t>If virtual currency is sold, income received from the sale is counted as income. See SECTION 15.5.19 VIRTUAL CURRENCY for information about treatment of virtual currency that the applicant or member has earned through work.</w:t>
      </w:r>
    </w:p>
    <w:p w14:paraId="47FD42B3" w14:textId="77777777" w:rsidR="00121CB3" w:rsidRPr="001B4569" w:rsidRDefault="00121CB3" w:rsidP="00121CB3">
      <w:pPr>
        <w:rPr>
          <w:rFonts w:ascii="Arial" w:hAnsi="Arial" w:cs="Arial"/>
          <w:b/>
          <w:bCs/>
        </w:rPr>
      </w:pPr>
      <w:r w:rsidRPr="001B4569">
        <w:rPr>
          <w:rFonts w:ascii="Arial" w:hAnsi="Arial" w:cs="Arial"/>
          <w:b/>
          <w:bCs/>
        </w:rPr>
        <w:t>15.5 Earned income</w:t>
      </w:r>
    </w:p>
    <w:p w14:paraId="59F4AFC8" w14:textId="77777777" w:rsidR="00121CB3" w:rsidRPr="00370056" w:rsidRDefault="00121CB3" w:rsidP="00370056">
      <w:pPr>
        <w:rPr>
          <w:rFonts w:ascii="Arial" w:hAnsi="Arial" w:cs="Arial"/>
          <w:sz w:val="20"/>
        </w:rPr>
      </w:pPr>
      <w:r w:rsidRPr="00370056">
        <w:rPr>
          <w:rFonts w:ascii="Arial" w:hAnsi="Arial" w:cs="Arial"/>
          <w:b/>
          <w:bCs/>
          <w:sz w:val="20"/>
        </w:rPr>
        <w:t>15.5.19 Virtual Currency</w:t>
      </w:r>
      <w:r w:rsidRPr="00370056">
        <w:rPr>
          <w:rFonts w:ascii="Arial" w:hAnsi="Arial" w:cs="Arial"/>
          <w:sz w:val="20"/>
        </w:rPr>
        <w:t xml:space="preserve"> </w:t>
      </w:r>
    </w:p>
    <w:p w14:paraId="1B0874EF" w14:textId="77777777" w:rsidR="00121CB3" w:rsidRPr="001B4569" w:rsidRDefault="00121CB3" w:rsidP="00370056">
      <w:pPr>
        <w:pStyle w:val="NoSpacing"/>
        <w:rPr>
          <w:rFonts w:ascii="Arial" w:hAnsi="Arial" w:cs="Arial"/>
          <w:sz w:val="20"/>
        </w:rPr>
      </w:pPr>
      <w:r w:rsidRPr="001B4569">
        <w:rPr>
          <w:rFonts w:ascii="Arial" w:hAnsi="Arial" w:cs="Arial"/>
          <w:sz w:val="20"/>
        </w:rPr>
        <w:t xml:space="preserve">Virtual currency is counted as income when it is: </w:t>
      </w:r>
    </w:p>
    <w:p w14:paraId="2E7AB02B" w14:textId="3F5175D9" w:rsidR="00121CB3" w:rsidRPr="001B4569" w:rsidRDefault="00121CB3" w:rsidP="00370056">
      <w:pPr>
        <w:pStyle w:val="NoSpacing"/>
        <w:numPr>
          <w:ilvl w:val="0"/>
          <w:numId w:val="12"/>
        </w:numPr>
        <w:rPr>
          <w:rFonts w:ascii="Arial" w:hAnsi="Arial" w:cs="Arial"/>
          <w:sz w:val="20"/>
        </w:rPr>
      </w:pPr>
      <w:r w:rsidRPr="001B4569">
        <w:rPr>
          <w:rFonts w:ascii="Arial" w:hAnsi="Arial" w:cs="Arial"/>
          <w:sz w:val="20"/>
        </w:rPr>
        <w:t xml:space="preserve">Received as payment for goods or services </w:t>
      </w:r>
    </w:p>
    <w:p w14:paraId="33C53611" w14:textId="3322D841" w:rsidR="00121CB3" w:rsidRPr="001B4569" w:rsidRDefault="00121CB3" w:rsidP="00370056">
      <w:pPr>
        <w:pStyle w:val="NoSpacing"/>
        <w:numPr>
          <w:ilvl w:val="0"/>
          <w:numId w:val="12"/>
        </w:numPr>
        <w:rPr>
          <w:rFonts w:ascii="Arial" w:hAnsi="Arial" w:cs="Arial"/>
          <w:sz w:val="20"/>
        </w:rPr>
      </w:pPr>
      <w:r w:rsidRPr="001B4569">
        <w:rPr>
          <w:rFonts w:ascii="Arial" w:hAnsi="Arial" w:cs="Arial"/>
          <w:sz w:val="20"/>
        </w:rPr>
        <w:t xml:space="preserve">Received by an independent contractor for performing services </w:t>
      </w:r>
    </w:p>
    <w:p w14:paraId="2FB7F8DA" w14:textId="5ACF07F5" w:rsidR="00121CB3" w:rsidRPr="001B4569" w:rsidRDefault="00121CB3" w:rsidP="00370056">
      <w:pPr>
        <w:pStyle w:val="NoSpacing"/>
        <w:numPr>
          <w:ilvl w:val="0"/>
          <w:numId w:val="12"/>
        </w:numPr>
        <w:rPr>
          <w:rFonts w:ascii="Arial" w:hAnsi="Arial" w:cs="Arial"/>
          <w:sz w:val="20"/>
        </w:rPr>
      </w:pPr>
      <w:r w:rsidRPr="001B4569">
        <w:rPr>
          <w:rFonts w:ascii="Arial" w:hAnsi="Arial" w:cs="Arial"/>
          <w:sz w:val="20"/>
        </w:rPr>
        <w:t>Received from an employer as remuneration for services (i.e., wages) See SECTION 15.4.26 VIRTUAL CURRENCY for information about the sale of virtual currency.</w:t>
      </w:r>
    </w:p>
    <w:p w14:paraId="643E2967" w14:textId="77777777" w:rsidR="001B4569" w:rsidRDefault="001B4569" w:rsidP="00121CB3">
      <w:pPr>
        <w:rPr>
          <w:rFonts w:ascii="Arial" w:hAnsi="Arial" w:cs="Arial"/>
          <w:b/>
          <w:bCs/>
        </w:rPr>
      </w:pPr>
    </w:p>
    <w:p w14:paraId="0C47064F" w14:textId="77777777" w:rsidR="00121CB3" w:rsidRPr="001B4569" w:rsidRDefault="00121CB3" w:rsidP="00121CB3">
      <w:pPr>
        <w:rPr>
          <w:rFonts w:ascii="Arial" w:hAnsi="Arial" w:cs="Arial"/>
          <w:b/>
          <w:bCs/>
        </w:rPr>
      </w:pPr>
      <w:r w:rsidRPr="001B4569">
        <w:rPr>
          <w:rFonts w:ascii="Arial" w:hAnsi="Arial" w:cs="Arial"/>
          <w:b/>
          <w:bCs/>
        </w:rPr>
        <w:t>16.7 Liquid Assets</w:t>
      </w:r>
    </w:p>
    <w:p w14:paraId="1BC9C178" w14:textId="77777777" w:rsidR="00121CB3" w:rsidRPr="00370056" w:rsidRDefault="00121CB3" w:rsidP="00370056">
      <w:pPr>
        <w:rPr>
          <w:rFonts w:ascii="Arial" w:hAnsi="Arial" w:cs="Arial"/>
          <w:b/>
          <w:bCs/>
          <w:sz w:val="20"/>
        </w:rPr>
      </w:pPr>
      <w:r w:rsidRPr="00370056">
        <w:rPr>
          <w:rFonts w:ascii="Arial" w:hAnsi="Arial" w:cs="Arial"/>
          <w:b/>
          <w:bCs/>
          <w:sz w:val="20"/>
        </w:rPr>
        <w:t>16.7.1 Personal Property</w:t>
      </w:r>
    </w:p>
    <w:p w14:paraId="260FD7FC" w14:textId="77777777" w:rsidR="00121CB3" w:rsidRPr="001B4569" w:rsidRDefault="00121CB3" w:rsidP="00370056">
      <w:pPr>
        <w:rPr>
          <w:rFonts w:ascii="Arial" w:hAnsi="Arial" w:cs="Arial"/>
          <w:sz w:val="20"/>
        </w:rPr>
      </w:pPr>
      <w:r w:rsidRPr="001B4569">
        <w:rPr>
          <w:rFonts w:ascii="Arial" w:hAnsi="Arial" w:cs="Arial"/>
          <w:sz w:val="20"/>
        </w:rPr>
        <w:t>Virtual Currency was added as a personal property asset</w:t>
      </w:r>
    </w:p>
    <w:p w14:paraId="48DDABA6" w14:textId="77777777" w:rsidR="00121CB3" w:rsidRPr="001B4569" w:rsidRDefault="00121CB3" w:rsidP="00121CB3">
      <w:pPr>
        <w:rPr>
          <w:rFonts w:ascii="Arial" w:hAnsi="Arial" w:cs="Arial"/>
        </w:rPr>
      </w:pPr>
    </w:p>
    <w:p w14:paraId="353C5DF9" w14:textId="77777777" w:rsidR="001B4569" w:rsidRDefault="001B4569" w:rsidP="00121CB3">
      <w:pPr>
        <w:rPr>
          <w:rFonts w:ascii="Arial" w:hAnsi="Arial" w:cs="Arial"/>
          <w:b/>
          <w:bCs/>
        </w:rPr>
      </w:pPr>
    </w:p>
    <w:p w14:paraId="67EDE236" w14:textId="77777777" w:rsidR="001B4569" w:rsidRDefault="001B4569" w:rsidP="00121CB3">
      <w:pPr>
        <w:rPr>
          <w:rFonts w:ascii="Arial" w:hAnsi="Arial" w:cs="Arial"/>
          <w:b/>
          <w:bCs/>
        </w:rPr>
      </w:pPr>
    </w:p>
    <w:p w14:paraId="2C0C19C5" w14:textId="77777777" w:rsidR="001B4569" w:rsidRDefault="001B4569" w:rsidP="00121CB3">
      <w:pPr>
        <w:rPr>
          <w:rFonts w:ascii="Arial" w:hAnsi="Arial" w:cs="Arial"/>
          <w:b/>
          <w:bCs/>
        </w:rPr>
      </w:pPr>
    </w:p>
    <w:p w14:paraId="7B0ED59E" w14:textId="77777777" w:rsidR="00121CB3" w:rsidRPr="001B4569" w:rsidRDefault="00121CB3" w:rsidP="00121CB3">
      <w:pPr>
        <w:rPr>
          <w:rFonts w:ascii="Arial" w:hAnsi="Arial" w:cs="Arial"/>
          <w:b/>
          <w:bCs/>
        </w:rPr>
      </w:pPr>
      <w:r w:rsidRPr="001B4569">
        <w:rPr>
          <w:rFonts w:ascii="Arial" w:hAnsi="Arial" w:cs="Arial"/>
          <w:b/>
          <w:bCs/>
        </w:rPr>
        <w:t>20.3 Mandatory Verification Items</w:t>
      </w:r>
    </w:p>
    <w:p w14:paraId="03261832" w14:textId="77777777" w:rsidR="00121CB3" w:rsidRPr="00370056" w:rsidRDefault="00121CB3" w:rsidP="00121CB3">
      <w:pPr>
        <w:rPr>
          <w:rFonts w:ascii="Arial" w:hAnsi="Arial" w:cs="Arial"/>
          <w:b/>
          <w:bCs/>
          <w:sz w:val="20"/>
        </w:rPr>
      </w:pPr>
      <w:r w:rsidRPr="00370056">
        <w:rPr>
          <w:rFonts w:ascii="Arial" w:hAnsi="Arial" w:cs="Arial"/>
          <w:b/>
          <w:bCs/>
          <w:sz w:val="20"/>
        </w:rPr>
        <w:t>20.3.10 Huber Law Exemption</w:t>
      </w:r>
    </w:p>
    <w:p w14:paraId="677AEB23" w14:textId="77777777" w:rsidR="00121CB3" w:rsidRPr="001B4569" w:rsidRDefault="00121CB3" w:rsidP="00121CB3">
      <w:pPr>
        <w:rPr>
          <w:rFonts w:ascii="Arial" w:hAnsi="Arial" w:cs="Arial"/>
          <w:sz w:val="20"/>
          <w:szCs w:val="20"/>
        </w:rPr>
      </w:pPr>
      <w:r w:rsidRPr="001B4569">
        <w:rPr>
          <w:rFonts w:ascii="Arial" w:hAnsi="Arial" w:cs="Arial"/>
          <w:sz w:val="20"/>
          <w:szCs w:val="20"/>
        </w:rPr>
        <w:t xml:space="preserve">To qualify for the Huber Law exemption, verification that the applicant or member is returning home to care for minor children is required. Acceptable verification sources include: </w:t>
      </w:r>
    </w:p>
    <w:p w14:paraId="719B87AA" w14:textId="77777777" w:rsidR="00121CB3" w:rsidRPr="001B4569" w:rsidRDefault="00121CB3" w:rsidP="00121CB3">
      <w:pPr>
        <w:pStyle w:val="NoSpacing"/>
        <w:ind w:firstLine="720"/>
        <w:rPr>
          <w:rFonts w:ascii="Arial" w:hAnsi="Arial" w:cs="Arial"/>
          <w:sz w:val="20"/>
          <w:szCs w:val="20"/>
        </w:rPr>
      </w:pPr>
      <w:r w:rsidRPr="001B4569">
        <w:rPr>
          <w:rFonts w:ascii="Arial" w:hAnsi="Arial" w:cs="Arial"/>
          <w:sz w:val="20"/>
          <w:szCs w:val="20"/>
        </w:rPr>
        <w:t xml:space="preserve">• Agency Form </w:t>
      </w:r>
    </w:p>
    <w:p w14:paraId="76B06F74" w14:textId="77777777" w:rsidR="00121CB3" w:rsidRPr="001B4569" w:rsidRDefault="00121CB3" w:rsidP="00121CB3">
      <w:pPr>
        <w:pStyle w:val="NoSpacing"/>
        <w:ind w:firstLine="720"/>
        <w:rPr>
          <w:rFonts w:ascii="Arial" w:hAnsi="Arial" w:cs="Arial"/>
          <w:sz w:val="20"/>
          <w:szCs w:val="20"/>
        </w:rPr>
      </w:pPr>
      <w:r w:rsidRPr="001B4569">
        <w:rPr>
          <w:rFonts w:ascii="Arial" w:hAnsi="Arial" w:cs="Arial"/>
          <w:sz w:val="20"/>
          <w:szCs w:val="20"/>
        </w:rPr>
        <w:t xml:space="preserve">• Court Order </w:t>
      </w:r>
    </w:p>
    <w:p w14:paraId="69B0A827" w14:textId="77777777" w:rsidR="00121CB3" w:rsidRPr="001B4569" w:rsidRDefault="00121CB3" w:rsidP="00121CB3">
      <w:pPr>
        <w:pStyle w:val="NoSpacing"/>
        <w:ind w:firstLine="720"/>
        <w:rPr>
          <w:rFonts w:ascii="Arial" w:hAnsi="Arial" w:cs="Arial"/>
          <w:sz w:val="20"/>
          <w:szCs w:val="20"/>
        </w:rPr>
      </w:pPr>
      <w:r w:rsidRPr="001B4569">
        <w:rPr>
          <w:rFonts w:ascii="Arial" w:hAnsi="Arial" w:cs="Arial"/>
          <w:sz w:val="20"/>
          <w:szCs w:val="20"/>
        </w:rPr>
        <w:t xml:space="preserve">• City or County Records, such as from the correctional facility </w:t>
      </w:r>
    </w:p>
    <w:p w14:paraId="392FD97A" w14:textId="77777777" w:rsidR="00121CB3" w:rsidRPr="001B4569" w:rsidRDefault="00121CB3" w:rsidP="00121CB3">
      <w:pPr>
        <w:pStyle w:val="NoSpacing"/>
        <w:ind w:firstLine="720"/>
        <w:rPr>
          <w:rFonts w:ascii="Arial" w:hAnsi="Arial" w:cs="Arial"/>
          <w:sz w:val="20"/>
          <w:szCs w:val="20"/>
        </w:rPr>
      </w:pPr>
      <w:r w:rsidRPr="001B4569">
        <w:rPr>
          <w:rFonts w:ascii="Arial" w:hAnsi="Arial" w:cs="Arial"/>
          <w:sz w:val="20"/>
          <w:szCs w:val="20"/>
        </w:rPr>
        <w:t xml:space="preserve">• Lawyer Statement or Record </w:t>
      </w:r>
    </w:p>
    <w:p w14:paraId="7BB6FA14" w14:textId="77777777" w:rsidR="00121CB3" w:rsidRPr="001B4569" w:rsidRDefault="00121CB3" w:rsidP="00121CB3">
      <w:pPr>
        <w:pStyle w:val="NoSpacing"/>
        <w:ind w:left="720"/>
        <w:rPr>
          <w:rFonts w:ascii="Arial" w:hAnsi="Arial" w:cs="Arial"/>
          <w:sz w:val="20"/>
          <w:szCs w:val="20"/>
        </w:rPr>
      </w:pPr>
      <w:r w:rsidRPr="001B4569">
        <w:rPr>
          <w:rFonts w:ascii="Arial" w:hAnsi="Arial" w:cs="Arial"/>
          <w:sz w:val="20"/>
          <w:szCs w:val="20"/>
        </w:rPr>
        <w:t>• Other Acceptable Written or Verbal Statement, such as from the court or correctional facility staff If the verification shows that the person is only allowed to leave jail under the Huber Law for a reason other than caring for a minor child, the person is not eligible for the Huber Law exemption</w:t>
      </w:r>
    </w:p>
    <w:p w14:paraId="35A4CC86" w14:textId="77777777" w:rsidR="00121CB3" w:rsidRPr="001B4569" w:rsidRDefault="00121CB3" w:rsidP="00121CB3">
      <w:pPr>
        <w:pStyle w:val="NoSpacing"/>
        <w:ind w:left="720"/>
        <w:rPr>
          <w:rFonts w:ascii="Arial" w:hAnsi="Arial" w:cs="Arial"/>
        </w:rPr>
      </w:pPr>
    </w:p>
    <w:p w14:paraId="0E4702E1" w14:textId="77777777" w:rsidR="00121CB3" w:rsidRPr="001B4569" w:rsidRDefault="00121CB3" w:rsidP="00121CB3">
      <w:pPr>
        <w:rPr>
          <w:rFonts w:ascii="Arial" w:hAnsi="Arial" w:cs="Arial"/>
          <w:b/>
          <w:bCs/>
        </w:rPr>
      </w:pPr>
      <w:r w:rsidRPr="001B4569">
        <w:rPr>
          <w:rFonts w:ascii="Arial" w:hAnsi="Arial" w:cs="Arial"/>
          <w:b/>
          <w:bCs/>
        </w:rPr>
        <w:t>22.2 Overpayments</w:t>
      </w:r>
    </w:p>
    <w:p w14:paraId="55462F2E" w14:textId="77777777" w:rsidR="00121CB3" w:rsidRPr="00370056" w:rsidRDefault="00121CB3" w:rsidP="00121CB3">
      <w:pPr>
        <w:rPr>
          <w:rFonts w:ascii="Arial" w:hAnsi="Arial" w:cs="Arial"/>
          <w:b/>
          <w:bCs/>
          <w:sz w:val="20"/>
        </w:rPr>
      </w:pPr>
      <w:r w:rsidRPr="00370056">
        <w:rPr>
          <w:rFonts w:ascii="Arial" w:hAnsi="Arial" w:cs="Arial"/>
          <w:b/>
          <w:bCs/>
          <w:sz w:val="20"/>
        </w:rPr>
        <w:t>22.2.1.2.4 Eligibility and Premium Determinations Based on Reasonable Compatibility</w:t>
      </w:r>
    </w:p>
    <w:p w14:paraId="008CCF75" w14:textId="77777777" w:rsidR="00121CB3" w:rsidRPr="001B4569" w:rsidRDefault="00121CB3" w:rsidP="00121CB3">
      <w:pPr>
        <w:rPr>
          <w:rFonts w:ascii="Arial" w:hAnsi="Arial" w:cs="Arial"/>
          <w:sz w:val="20"/>
        </w:rPr>
      </w:pPr>
      <w:r w:rsidRPr="001B4569">
        <w:rPr>
          <w:rFonts w:ascii="Arial" w:hAnsi="Arial" w:cs="Arial"/>
          <w:sz w:val="20"/>
        </w:rPr>
        <w:t xml:space="preserve">If a member is not required to verify their earned income at the eligibility or premium determination due to reasonable compatibility and then verifies their earned income at a later date (for example, because verification is required for another program), the verified earnings must be used to determine eligibility and premium amounts. The member cannot be subject to an overpayment because the initial determination was based on income that was reasonably compatible with a data exchange. </w:t>
      </w:r>
    </w:p>
    <w:p w14:paraId="34FF6384" w14:textId="77777777" w:rsidR="00121CB3" w:rsidRPr="001B4569" w:rsidRDefault="00121CB3" w:rsidP="00121CB3">
      <w:pPr>
        <w:rPr>
          <w:rFonts w:ascii="Arial" w:hAnsi="Arial" w:cs="Arial"/>
          <w:sz w:val="20"/>
        </w:rPr>
      </w:pPr>
      <w:r w:rsidRPr="001B4569">
        <w:rPr>
          <w:rFonts w:ascii="Arial" w:hAnsi="Arial" w:cs="Arial"/>
          <w:sz w:val="20"/>
        </w:rPr>
        <w:t>If a member is not required to verify their earned income at the eligibility or premium determination due to reasonable compatibility and subsequently fails to report a required income change, the member can only be subject to an overpayment if their new income amount is more than 20% greater than the total income amount that was used to make the eligibility or premium determination.</w:t>
      </w:r>
    </w:p>
    <w:p w14:paraId="60D311AD" w14:textId="77777777" w:rsidR="00AE3744" w:rsidRPr="006D776A" w:rsidRDefault="00AE3744" w:rsidP="00A81C5D">
      <w:pPr>
        <w:shd w:val="clear" w:color="auto" w:fill="FFFFFF"/>
        <w:spacing w:after="0" w:line="233" w:lineRule="atLeast"/>
        <w:rPr>
          <w:rFonts w:ascii="Arial" w:eastAsia="Times New Roman" w:hAnsi="Arial" w:cs="Arial"/>
          <w:b/>
          <w:bCs/>
          <w:color w:val="000000"/>
          <w:bdr w:val="none" w:sz="0" w:space="0" w:color="auto" w:frame="1"/>
        </w:rPr>
      </w:pPr>
    </w:p>
    <w:p w14:paraId="1641AC1C" w14:textId="77777777" w:rsidR="00F25F85" w:rsidRPr="006D776A" w:rsidRDefault="00B22B23" w:rsidP="001B4569">
      <w:pPr>
        <w:shd w:val="clear" w:color="auto" w:fill="FFFFFF"/>
        <w:spacing w:after="0" w:line="240" w:lineRule="auto"/>
        <w:rPr>
          <w:rFonts w:ascii="Arial" w:hAnsi="Arial" w:cs="Arial"/>
          <w:b/>
          <w:bCs/>
        </w:rPr>
      </w:pPr>
      <w:r w:rsidRPr="006D776A">
        <w:rPr>
          <w:rFonts w:ascii="Arial" w:hAnsi="Arial" w:cs="Arial"/>
          <w:b/>
          <w:bCs/>
          <w:u w:val="single"/>
        </w:rPr>
        <w:t>Process Help</w:t>
      </w:r>
      <w:r w:rsidR="00F123B5" w:rsidRPr="006D776A">
        <w:rPr>
          <w:rFonts w:ascii="Arial" w:hAnsi="Arial" w:cs="Arial"/>
          <w:b/>
          <w:bCs/>
          <w:u w:val="single"/>
        </w:rPr>
        <w:t xml:space="preserve"> Release 22-04</w:t>
      </w:r>
    </w:p>
    <w:p w14:paraId="74EBE848" w14:textId="70745FB2" w:rsidR="00B22B23" w:rsidRPr="006D776A" w:rsidRDefault="00B22B23" w:rsidP="001B4569">
      <w:pPr>
        <w:shd w:val="clear" w:color="auto" w:fill="FFFFFF"/>
        <w:spacing w:after="0" w:line="240" w:lineRule="auto"/>
        <w:rPr>
          <w:rFonts w:ascii="Arial" w:eastAsia="Times New Roman" w:hAnsi="Arial" w:cs="Arial"/>
          <w:color w:val="000000"/>
          <w:bdr w:val="none" w:sz="0" w:space="0" w:color="auto" w:frame="1"/>
        </w:rPr>
      </w:pPr>
      <w:r w:rsidRPr="006D776A">
        <w:rPr>
          <w:rFonts w:ascii="Arial" w:hAnsi="Arial" w:cs="Arial"/>
          <w:b/>
          <w:bCs/>
        </w:rPr>
        <w:t>Presented</w:t>
      </w:r>
      <w:r w:rsidRPr="006D776A">
        <w:rPr>
          <w:rFonts w:ascii="Arial" w:hAnsi="Arial" w:cs="Arial"/>
          <w:bCs/>
        </w:rPr>
        <w:t xml:space="preserve"> By: Kathy King</w:t>
      </w:r>
    </w:p>
    <w:p w14:paraId="193B0C5E" w14:textId="0C67C258" w:rsidR="00B22B23" w:rsidRPr="006D776A" w:rsidRDefault="00B22B23" w:rsidP="00B22B23">
      <w:pPr>
        <w:spacing w:line="259" w:lineRule="auto"/>
        <w:rPr>
          <w:rFonts w:ascii="Arial" w:hAnsi="Arial" w:cs="Arial"/>
          <w:b/>
          <w:bCs/>
        </w:rPr>
      </w:pPr>
      <w:r w:rsidRPr="006D776A">
        <w:rPr>
          <w:rFonts w:ascii="Arial" w:hAnsi="Arial" w:cs="Arial"/>
          <w:b/>
          <w:bCs/>
        </w:rPr>
        <w:t xml:space="preserve">Release/Effective Date: </w:t>
      </w:r>
      <w:r w:rsidR="000256B2" w:rsidRPr="006D776A">
        <w:rPr>
          <w:rFonts w:ascii="Arial" w:hAnsi="Arial" w:cs="Arial"/>
          <w:b/>
          <w:bCs/>
        </w:rPr>
        <w:t>08/01/2022</w:t>
      </w:r>
    </w:p>
    <w:p w14:paraId="73AD4CC4" w14:textId="77777777" w:rsidR="000256B2" w:rsidRPr="006D776A" w:rsidRDefault="000256B2" w:rsidP="000256B2">
      <w:pPr>
        <w:pStyle w:val="NormalWeb"/>
        <w:rPr>
          <w:rFonts w:ascii="Arial" w:hAnsi="Arial" w:cs="Arial"/>
          <w:b/>
          <w:color w:val="000000"/>
          <w:sz w:val="22"/>
          <w:szCs w:val="22"/>
        </w:rPr>
      </w:pPr>
      <w:r w:rsidRPr="006D776A">
        <w:rPr>
          <w:rFonts w:ascii="Arial" w:hAnsi="Arial" w:cs="Arial"/>
          <w:b/>
          <w:color w:val="000000"/>
          <w:sz w:val="22"/>
          <w:szCs w:val="22"/>
        </w:rPr>
        <w:t>46.2 Organizing Case Comments</w:t>
      </w:r>
    </w:p>
    <w:p w14:paraId="5A66E48D" w14:textId="77777777" w:rsidR="000256B2" w:rsidRPr="006D776A" w:rsidRDefault="000256B2" w:rsidP="000256B2">
      <w:pPr>
        <w:pStyle w:val="NormalWeb"/>
        <w:rPr>
          <w:rFonts w:ascii="Arial" w:hAnsi="Arial" w:cs="Arial"/>
          <w:color w:val="000000"/>
          <w:sz w:val="20"/>
          <w:szCs w:val="20"/>
        </w:rPr>
      </w:pPr>
      <w:r w:rsidRPr="006D776A">
        <w:rPr>
          <w:rFonts w:ascii="Arial" w:hAnsi="Arial" w:cs="Arial"/>
          <w:color w:val="000000"/>
          <w:sz w:val="20"/>
          <w:szCs w:val="20"/>
        </w:rPr>
        <w:t>This section was updated to reflect that workers must include the connection ID for all phone calls in case comments.</w:t>
      </w:r>
    </w:p>
    <w:p w14:paraId="2EA0FE68" w14:textId="77777777" w:rsidR="00F33EDB" w:rsidRDefault="00AE3744" w:rsidP="00AE3744">
      <w:pPr>
        <w:spacing w:line="259" w:lineRule="auto"/>
        <w:rPr>
          <w:rFonts w:ascii="Arial" w:hAnsi="Arial" w:cs="Arial"/>
          <w:b/>
          <w:bCs/>
        </w:rPr>
      </w:pPr>
      <w:r w:rsidRPr="00F33EDB">
        <w:rPr>
          <w:rFonts w:ascii="Arial" w:hAnsi="Arial" w:cs="Arial"/>
          <w:b/>
          <w:bCs/>
          <w:u w:val="single"/>
        </w:rPr>
        <w:t>FoodShare Release 22-</w:t>
      </w:r>
      <w:r w:rsidR="00B22B23" w:rsidRPr="00F33EDB">
        <w:rPr>
          <w:rFonts w:ascii="Arial" w:hAnsi="Arial" w:cs="Arial"/>
          <w:b/>
          <w:bCs/>
          <w:u w:val="single"/>
        </w:rPr>
        <w:t>02</w:t>
      </w:r>
      <w:r w:rsidR="001F66A9" w:rsidRPr="00F33EDB">
        <w:rPr>
          <w:rFonts w:ascii="Arial" w:hAnsi="Arial" w:cs="Arial"/>
          <w:b/>
          <w:bCs/>
        </w:rPr>
        <w:t xml:space="preserve"> </w:t>
      </w:r>
    </w:p>
    <w:p w14:paraId="70D77435" w14:textId="0EA6C35A" w:rsidR="00596A5A" w:rsidRPr="00F33EDB" w:rsidRDefault="001F66A9" w:rsidP="00AE3744">
      <w:pPr>
        <w:spacing w:line="259" w:lineRule="auto"/>
        <w:rPr>
          <w:rFonts w:ascii="Arial" w:hAnsi="Arial" w:cs="Arial"/>
        </w:rPr>
      </w:pPr>
      <w:r w:rsidRPr="00F33EDB">
        <w:rPr>
          <w:rFonts w:ascii="Arial" w:hAnsi="Arial" w:cs="Arial"/>
          <w:b/>
          <w:bCs/>
        </w:rPr>
        <w:t>Presented</w:t>
      </w:r>
      <w:r w:rsidR="00596A5A" w:rsidRPr="00F33EDB">
        <w:rPr>
          <w:rFonts w:ascii="Arial" w:hAnsi="Arial" w:cs="Arial"/>
          <w:bCs/>
        </w:rPr>
        <w:t xml:space="preserve"> By: Melissa Dybas</w:t>
      </w:r>
    </w:p>
    <w:p w14:paraId="1914E329" w14:textId="41418CD9" w:rsidR="00AE3744" w:rsidRPr="00F33EDB" w:rsidRDefault="00AE3744" w:rsidP="00AE3744">
      <w:pPr>
        <w:spacing w:line="259" w:lineRule="auto"/>
        <w:rPr>
          <w:rFonts w:ascii="Arial" w:hAnsi="Arial" w:cs="Arial"/>
          <w:b/>
        </w:rPr>
      </w:pPr>
      <w:r w:rsidRPr="00F33EDB">
        <w:rPr>
          <w:rFonts w:ascii="Arial" w:hAnsi="Arial" w:cs="Arial"/>
          <w:b/>
          <w:bCs/>
        </w:rPr>
        <w:t>Release/Effective Date</w:t>
      </w:r>
      <w:r w:rsidR="00F33EDB" w:rsidRPr="00F33EDB">
        <w:rPr>
          <w:rFonts w:ascii="Arial" w:hAnsi="Arial" w:cs="Arial"/>
          <w:b/>
          <w:bCs/>
        </w:rPr>
        <w:t>: 08/01/2022</w:t>
      </w:r>
    </w:p>
    <w:p w14:paraId="512BA16F" w14:textId="77777777" w:rsidR="00F33EDB" w:rsidRPr="00F33EDB" w:rsidRDefault="00F33EDB" w:rsidP="00F33EDB">
      <w:pPr>
        <w:rPr>
          <w:rFonts w:ascii="Arial" w:hAnsi="Arial" w:cs="Arial"/>
          <w:b/>
          <w:bCs/>
        </w:rPr>
      </w:pPr>
      <w:r w:rsidRPr="00F33EDB">
        <w:rPr>
          <w:rFonts w:ascii="Arial" w:hAnsi="Arial" w:cs="Arial"/>
          <w:b/>
          <w:bCs/>
        </w:rPr>
        <w:t>1.2.1.3 Responsibility for Verification</w:t>
      </w:r>
    </w:p>
    <w:p w14:paraId="11DCFF9C" w14:textId="77777777" w:rsidR="00F33EDB" w:rsidRPr="00F33EDB" w:rsidRDefault="00F33EDB" w:rsidP="00F33EDB">
      <w:pPr>
        <w:rPr>
          <w:rFonts w:ascii="Arial" w:hAnsi="Arial" w:cs="Arial"/>
          <w:sz w:val="20"/>
          <w:szCs w:val="20"/>
        </w:rPr>
      </w:pPr>
      <w:r w:rsidRPr="00F33EDB">
        <w:rPr>
          <w:rFonts w:ascii="Arial" w:hAnsi="Arial" w:cs="Arial"/>
          <w:sz w:val="20"/>
          <w:szCs w:val="20"/>
        </w:rPr>
        <w:t>Information was added stating: IM workers have responsibility for verifying information such as:</w:t>
      </w:r>
    </w:p>
    <w:p w14:paraId="6646C6CE" w14:textId="77777777" w:rsidR="00F33EDB" w:rsidRPr="00F33EDB" w:rsidRDefault="00F33EDB" w:rsidP="00F33EDB">
      <w:pPr>
        <w:pStyle w:val="ListParagraph"/>
        <w:numPr>
          <w:ilvl w:val="0"/>
          <w:numId w:val="7"/>
        </w:numPr>
        <w:spacing w:line="259" w:lineRule="auto"/>
        <w:rPr>
          <w:rFonts w:ascii="Arial" w:hAnsi="Arial" w:cs="Arial"/>
          <w:sz w:val="20"/>
          <w:szCs w:val="20"/>
        </w:rPr>
      </w:pPr>
      <w:r w:rsidRPr="00F33EDB">
        <w:rPr>
          <w:rFonts w:ascii="Arial" w:hAnsi="Arial" w:cs="Arial"/>
          <w:sz w:val="20"/>
          <w:szCs w:val="20"/>
        </w:rPr>
        <w:t>Out-of-state time-limited benefit months (TLBs)</w:t>
      </w:r>
    </w:p>
    <w:p w14:paraId="4445C373" w14:textId="77777777" w:rsidR="00F33EDB" w:rsidRPr="00F33EDB" w:rsidRDefault="00F33EDB" w:rsidP="00F33EDB">
      <w:pPr>
        <w:rPr>
          <w:rFonts w:ascii="Arial" w:hAnsi="Arial" w:cs="Arial"/>
          <w:sz w:val="20"/>
          <w:szCs w:val="20"/>
        </w:rPr>
      </w:pPr>
      <w:r w:rsidRPr="00F33EDB">
        <w:rPr>
          <w:rFonts w:ascii="Arial" w:hAnsi="Arial" w:cs="Arial"/>
          <w:sz w:val="20"/>
          <w:szCs w:val="20"/>
        </w:rPr>
        <w:t>In the instance of out-of-state TLBs, best available information may include a lack of response by the other state within the standard processing timeframe.</w:t>
      </w:r>
    </w:p>
    <w:p w14:paraId="4367DADC" w14:textId="77777777" w:rsidR="00F33EDB" w:rsidRPr="00F33EDB" w:rsidRDefault="00F33EDB" w:rsidP="00F33EDB">
      <w:pPr>
        <w:rPr>
          <w:rFonts w:ascii="Arial" w:hAnsi="Arial" w:cs="Arial"/>
          <w:b/>
          <w:bCs/>
        </w:rPr>
      </w:pPr>
      <w:r w:rsidRPr="00F33EDB">
        <w:rPr>
          <w:rFonts w:ascii="Arial" w:hAnsi="Arial" w:cs="Arial"/>
          <w:b/>
          <w:bCs/>
        </w:rPr>
        <w:t>1.2.3.5 Wisconsin Residency Verification</w:t>
      </w:r>
    </w:p>
    <w:p w14:paraId="0243F9B9" w14:textId="0A7D3555" w:rsidR="00F33EDB" w:rsidRPr="00F33EDB" w:rsidRDefault="006061FA" w:rsidP="00F33EDB">
      <w:pPr>
        <w:rPr>
          <w:rFonts w:ascii="Arial" w:hAnsi="Arial" w:cs="Arial"/>
          <w:sz w:val="20"/>
          <w:szCs w:val="20"/>
        </w:rPr>
      </w:pPr>
      <w:r>
        <w:rPr>
          <w:rFonts w:ascii="Arial" w:hAnsi="Arial" w:cs="Arial"/>
          <w:sz w:val="20"/>
          <w:szCs w:val="20"/>
        </w:rPr>
        <w:t>Language</w:t>
      </w:r>
      <w:r w:rsidR="00F33EDB" w:rsidRPr="00F33EDB">
        <w:rPr>
          <w:rFonts w:ascii="Arial" w:hAnsi="Arial" w:cs="Arial"/>
          <w:sz w:val="20"/>
          <w:szCs w:val="20"/>
        </w:rPr>
        <w:t xml:space="preserve"> was changed from “</w:t>
      </w:r>
      <w:r w:rsidR="00F33EDB" w:rsidRPr="006061FA">
        <w:rPr>
          <w:rFonts w:ascii="Arial" w:hAnsi="Arial" w:cs="Arial"/>
          <w:i/>
          <w:iCs/>
          <w:sz w:val="20"/>
          <w:szCs w:val="20"/>
        </w:rPr>
        <w:t>Living in WI</w:t>
      </w:r>
      <w:r w:rsidR="00F33EDB" w:rsidRPr="00F33EDB">
        <w:rPr>
          <w:rFonts w:ascii="Arial" w:hAnsi="Arial" w:cs="Arial"/>
          <w:sz w:val="20"/>
          <w:szCs w:val="20"/>
        </w:rPr>
        <w:t>” to State Residency.</w:t>
      </w:r>
    </w:p>
    <w:p w14:paraId="458A4295" w14:textId="715F221E" w:rsidR="006061FA" w:rsidRPr="00F33EDB" w:rsidRDefault="006061FA" w:rsidP="006061FA">
      <w:pPr>
        <w:rPr>
          <w:rFonts w:ascii="Arial" w:hAnsi="Arial" w:cs="Arial"/>
          <w:sz w:val="20"/>
          <w:szCs w:val="20"/>
        </w:rPr>
      </w:pPr>
      <w:r w:rsidRPr="00F33EDB">
        <w:rPr>
          <w:rFonts w:ascii="Arial" w:hAnsi="Arial" w:cs="Arial"/>
          <w:sz w:val="20"/>
          <w:szCs w:val="20"/>
        </w:rPr>
        <w:t>***Please Note: These are only the newly added exceptions</w:t>
      </w:r>
      <w:r>
        <w:rPr>
          <w:rFonts w:ascii="Arial" w:hAnsi="Arial" w:cs="Arial"/>
          <w:sz w:val="20"/>
          <w:szCs w:val="20"/>
        </w:rPr>
        <w:t xml:space="preserve"> for WI residency verification:</w:t>
      </w:r>
    </w:p>
    <w:p w14:paraId="0838C23C" w14:textId="77777777" w:rsidR="00F33EDB" w:rsidRPr="00F33EDB" w:rsidRDefault="00F33EDB" w:rsidP="00F33EDB">
      <w:pPr>
        <w:rPr>
          <w:rFonts w:ascii="Arial" w:hAnsi="Arial" w:cs="Arial"/>
          <w:sz w:val="20"/>
          <w:szCs w:val="20"/>
        </w:rPr>
      </w:pPr>
      <w:r w:rsidRPr="00F33EDB">
        <w:rPr>
          <w:rFonts w:ascii="Arial" w:hAnsi="Arial" w:cs="Arial"/>
          <w:sz w:val="20"/>
          <w:szCs w:val="20"/>
        </w:rPr>
        <w:t>Applicants newly arrived in Wisconsin.</w:t>
      </w:r>
    </w:p>
    <w:p w14:paraId="048036BE" w14:textId="77777777" w:rsidR="00F33EDB" w:rsidRPr="00F33EDB" w:rsidRDefault="00F33EDB" w:rsidP="00F33EDB">
      <w:pPr>
        <w:rPr>
          <w:rFonts w:ascii="Arial" w:hAnsi="Arial" w:cs="Arial"/>
          <w:sz w:val="20"/>
          <w:szCs w:val="20"/>
        </w:rPr>
      </w:pPr>
      <w:r w:rsidRPr="00F33EDB">
        <w:rPr>
          <w:rFonts w:ascii="Arial" w:hAnsi="Arial" w:cs="Arial"/>
          <w:sz w:val="20"/>
          <w:szCs w:val="20"/>
        </w:rPr>
        <w:t>FoodShare members temporarily absent from the food unit</w:t>
      </w:r>
    </w:p>
    <w:p w14:paraId="0DB87E1C" w14:textId="77777777" w:rsidR="00F33EDB" w:rsidRPr="00F33EDB" w:rsidRDefault="00F33EDB" w:rsidP="00F33EDB">
      <w:pPr>
        <w:rPr>
          <w:rFonts w:ascii="Arial" w:hAnsi="Arial" w:cs="Arial"/>
          <w:b/>
          <w:bCs/>
        </w:rPr>
      </w:pPr>
      <w:r w:rsidRPr="00F33EDB">
        <w:rPr>
          <w:rFonts w:ascii="Arial" w:hAnsi="Arial" w:cs="Arial"/>
          <w:b/>
          <w:bCs/>
        </w:rPr>
        <w:t xml:space="preserve">New Section-1.2.3.10 Huber Law </w:t>
      </w:r>
    </w:p>
    <w:p w14:paraId="62B8E4B1" w14:textId="67456079" w:rsidR="006061FA" w:rsidRPr="001B4569" w:rsidRDefault="00F33EDB" w:rsidP="00F33EDB">
      <w:pPr>
        <w:rPr>
          <w:rFonts w:ascii="Arial" w:hAnsi="Arial" w:cs="Arial"/>
          <w:sz w:val="20"/>
          <w:szCs w:val="20"/>
        </w:rPr>
      </w:pPr>
      <w:r w:rsidRPr="00F33EDB">
        <w:rPr>
          <w:rFonts w:ascii="Arial" w:hAnsi="Arial" w:cs="Arial"/>
          <w:sz w:val="20"/>
          <w:szCs w:val="20"/>
        </w:rPr>
        <w:t>Applicants and members who are incarcerated but allowed to leave jail under the Huber Law can become or remain eligible for FoodShare if the reason for the release is to return home to care for their minor children (see SECTION 3.2.1.2.2 INCARCERATION AND HUBER LAW PRISONERS). To qualify for the Huber Law exemption, verification that the applicant or member is returning home to care for minor children is required. Verification may include court documents, jail documents, or other written or verbal verification provided by court or jail staff (see SECTION 1.2.6.1 REQUIRED VERIFICATION TO DETERMINE ELIGIBILITY). If the verification shows that the person is allowed to leave jail under the Huber Law for a different reason, they are not eligible for the Huber Law exemption.</w:t>
      </w:r>
    </w:p>
    <w:p w14:paraId="7041844D" w14:textId="59DBDCF7" w:rsidR="00F33EDB" w:rsidRPr="00F33EDB" w:rsidRDefault="00F33EDB" w:rsidP="00F33EDB">
      <w:pPr>
        <w:rPr>
          <w:rFonts w:ascii="Arial" w:hAnsi="Arial" w:cs="Arial"/>
          <w:b/>
          <w:bCs/>
        </w:rPr>
      </w:pPr>
      <w:r w:rsidRPr="00F33EDB">
        <w:rPr>
          <w:rFonts w:ascii="Arial" w:hAnsi="Arial" w:cs="Arial"/>
          <w:b/>
          <w:bCs/>
        </w:rPr>
        <w:t>1.2.6.1 Required Verification to Determine Eligibility</w:t>
      </w:r>
    </w:p>
    <w:p w14:paraId="1C7D697F" w14:textId="77777777" w:rsidR="00F33EDB" w:rsidRPr="00F33EDB" w:rsidRDefault="00F33EDB" w:rsidP="00F33EDB">
      <w:pPr>
        <w:rPr>
          <w:rFonts w:ascii="Arial" w:hAnsi="Arial" w:cs="Arial"/>
          <w:sz w:val="20"/>
          <w:szCs w:val="20"/>
        </w:rPr>
      </w:pPr>
      <w:r w:rsidRPr="00F33EDB">
        <w:rPr>
          <w:rFonts w:ascii="Arial" w:hAnsi="Arial" w:cs="Arial"/>
          <w:sz w:val="20"/>
          <w:szCs w:val="20"/>
        </w:rPr>
        <w:t>Wisconsin Residency-Written Statement has been allowed, the term “ from non-relative” was removed.</w:t>
      </w:r>
    </w:p>
    <w:p w14:paraId="1244F9CB" w14:textId="77777777" w:rsidR="00F33EDB" w:rsidRPr="00F33EDB" w:rsidRDefault="00F33EDB" w:rsidP="00F33EDB">
      <w:pPr>
        <w:rPr>
          <w:rFonts w:ascii="Arial" w:hAnsi="Arial" w:cs="Arial"/>
          <w:sz w:val="20"/>
          <w:szCs w:val="20"/>
        </w:rPr>
      </w:pPr>
      <w:r w:rsidRPr="00F33EDB">
        <w:rPr>
          <w:rFonts w:ascii="Arial" w:hAnsi="Arial" w:cs="Arial"/>
          <w:sz w:val="20"/>
          <w:szCs w:val="20"/>
        </w:rPr>
        <w:t xml:space="preserve">Primary Person’s ID-Government ID was added, and Voter Registration Card was removed. </w:t>
      </w:r>
    </w:p>
    <w:p w14:paraId="7B2F8D40" w14:textId="77777777" w:rsidR="00F33EDB" w:rsidRPr="00F33EDB" w:rsidRDefault="00F33EDB" w:rsidP="00F33EDB">
      <w:pPr>
        <w:rPr>
          <w:rFonts w:ascii="Arial" w:hAnsi="Arial" w:cs="Arial"/>
          <w:sz w:val="20"/>
          <w:szCs w:val="20"/>
        </w:rPr>
      </w:pPr>
      <w:r w:rsidRPr="00F33EDB">
        <w:rPr>
          <w:rFonts w:ascii="Arial" w:hAnsi="Arial" w:cs="Arial"/>
          <w:sz w:val="20"/>
          <w:szCs w:val="20"/>
        </w:rPr>
        <w:t>New Sections were added for the below and the list of acceptable verifications:</w:t>
      </w:r>
    </w:p>
    <w:p w14:paraId="6A4ACC67" w14:textId="77777777" w:rsidR="00F33EDB" w:rsidRPr="00F33EDB" w:rsidRDefault="00F33EDB" w:rsidP="00F33EDB">
      <w:pPr>
        <w:pStyle w:val="ListParagraph"/>
        <w:numPr>
          <w:ilvl w:val="0"/>
          <w:numId w:val="7"/>
        </w:numPr>
        <w:spacing w:line="259" w:lineRule="auto"/>
        <w:rPr>
          <w:rFonts w:ascii="Arial" w:hAnsi="Arial" w:cs="Arial"/>
          <w:sz w:val="20"/>
          <w:szCs w:val="20"/>
        </w:rPr>
      </w:pPr>
      <w:r w:rsidRPr="00F33EDB">
        <w:rPr>
          <w:rFonts w:ascii="Arial" w:hAnsi="Arial" w:cs="Arial"/>
          <w:sz w:val="20"/>
          <w:szCs w:val="20"/>
        </w:rPr>
        <w:t>ABAWD Hours worked</w:t>
      </w:r>
    </w:p>
    <w:p w14:paraId="52908ADF" w14:textId="77777777" w:rsidR="00F33EDB" w:rsidRPr="00F33EDB" w:rsidRDefault="00F33EDB" w:rsidP="00F33EDB">
      <w:pPr>
        <w:pStyle w:val="ListParagraph"/>
        <w:numPr>
          <w:ilvl w:val="0"/>
          <w:numId w:val="7"/>
        </w:numPr>
        <w:spacing w:line="259" w:lineRule="auto"/>
        <w:rPr>
          <w:rFonts w:ascii="Arial" w:hAnsi="Arial" w:cs="Arial"/>
          <w:sz w:val="20"/>
          <w:szCs w:val="20"/>
        </w:rPr>
      </w:pPr>
      <w:r w:rsidRPr="00F33EDB">
        <w:rPr>
          <w:rFonts w:ascii="Arial" w:hAnsi="Arial" w:cs="Arial"/>
          <w:sz w:val="20"/>
          <w:szCs w:val="20"/>
        </w:rPr>
        <w:t>ABAWD Countable Months in Another State</w:t>
      </w:r>
    </w:p>
    <w:p w14:paraId="0E2C65BB" w14:textId="77777777" w:rsidR="00F33EDB" w:rsidRPr="00F33EDB" w:rsidRDefault="00F33EDB" w:rsidP="00F33EDB">
      <w:pPr>
        <w:pStyle w:val="ListParagraph"/>
        <w:numPr>
          <w:ilvl w:val="0"/>
          <w:numId w:val="7"/>
        </w:numPr>
        <w:spacing w:line="259" w:lineRule="auto"/>
        <w:rPr>
          <w:rFonts w:ascii="Arial" w:hAnsi="Arial" w:cs="Arial"/>
          <w:sz w:val="20"/>
          <w:szCs w:val="20"/>
        </w:rPr>
      </w:pPr>
      <w:r w:rsidRPr="00F33EDB">
        <w:rPr>
          <w:rFonts w:ascii="Arial" w:hAnsi="Arial" w:cs="Arial"/>
          <w:sz w:val="20"/>
          <w:szCs w:val="20"/>
        </w:rPr>
        <w:t>Huber Status: PLEASE NOTE this was removed from Verify Only If Questionable and moved to Required</w:t>
      </w:r>
    </w:p>
    <w:p w14:paraId="58476CCE" w14:textId="77777777" w:rsidR="00F33EDB" w:rsidRPr="00F33EDB" w:rsidRDefault="00F33EDB" w:rsidP="00F33EDB">
      <w:pPr>
        <w:rPr>
          <w:rFonts w:ascii="Arial" w:hAnsi="Arial" w:cs="Arial"/>
          <w:b/>
          <w:bCs/>
        </w:rPr>
      </w:pPr>
      <w:r w:rsidRPr="00F33EDB">
        <w:rPr>
          <w:rFonts w:ascii="Arial" w:hAnsi="Arial" w:cs="Arial"/>
          <w:b/>
          <w:bCs/>
        </w:rPr>
        <w:t>2.1.3.2.1 Required Interview Topics</w:t>
      </w:r>
    </w:p>
    <w:p w14:paraId="47260BAE" w14:textId="77777777" w:rsidR="00F33EDB" w:rsidRPr="00F33EDB" w:rsidRDefault="00F33EDB" w:rsidP="00F33EDB">
      <w:pPr>
        <w:rPr>
          <w:rFonts w:ascii="Arial" w:hAnsi="Arial" w:cs="Arial"/>
          <w:sz w:val="20"/>
          <w:szCs w:val="20"/>
        </w:rPr>
      </w:pPr>
      <w:r w:rsidRPr="00F33EDB">
        <w:rPr>
          <w:rFonts w:ascii="Arial" w:hAnsi="Arial" w:cs="Arial"/>
          <w:sz w:val="20"/>
          <w:szCs w:val="20"/>
        </w:rPr>
        <w:t>This section was updated to include information about the Work Requirements and that it must be read if the food unit includes an applicant or member subject to a work requirement. It was also updated to state</w:t>
      </w:r>
      <w:r w:rsidRPr="00F33EDB">
        <w:rPr>
          <w:rFonts w:ascii="Arial" w:hAnsi="Arial" w:cs="Arial"/>
          <w:i/>
          <w:iCs/>
          <w:sz w:val="20"/>
          <w:szCs w:val="20"/>
        </w:rPr>
        <w:t>: IM workers must identify which applicant(s) or member(s) are subject to FoodShare basic work rules and FoodShare work requirements and provide the required information.</w:t>
      </w:r>
      <w:r w:rsidRPr="00F33EDB">
        <w:rPr>
          <w:rFonts w:ascii="Arial" w:hAnsi="Arial" w:cs="Arial"/>
          <w:sz w:val="20"/>
          <w:szCs w:val="20"/>
        </w:rPr>
        <w:t xml:space="preserve"> </w:t>
      </w:r>
    </w:p>
    <w:p w14:paraId="199ADAD2" w14:textId="77777777" w:rsidR="00F33EDB" w:rsidRPr="00F33EDB" w:rsidRDefault="00F33EDB" w:rsidP="00F33EDB">
      <w:pPr>
        <w:rPr>
          <w:rFonts w:ascii="Arial" w:hAnsi="Arial" w:cs="Arial"/>
          <w:i/>
          <w:iCs/>
          <w:sz w:val="20"/>
          <w:szCs w:val="20"/>
        </w:rPr>
      </w:pPr>
      <w:r w:rsidRPr="00F33EDB">
        <w:rPr>
          <w:rFonts w:ascii="Arial" w:hAnsi="Arial" w:cs="Arial"/>
          <w:sz w:val="20"/>
          <w:szCs w:val="20"/>
        </w:rPr>
        <w:t xml:space="preserve">The section then details the information that is required. It closes by stating: </w:t>
      </w:r>
      <w:r w:rsidRPr="00F33EDB">
        <w:rPr>
          <w:rFonts w:ascii="Arial" w:hAnsi="Arial" w:cs="Arial"/>
          <w:i/>
          <w:iCs/>
          <w:sz w:val="20"/>
          <w:szCs w:val="20"/>
        </w:rPr>
        <w:t xml:space="preserve">The appropriate sections of the "FoodShare Basic Work Rules and FoodShare Work Requirements Script for IM Workers" must be read to meet the above requirements. </w:t>
      </w:r>
    </w:p>
    <w:p w14:paraId="64C95E23" w14:textId="77777777" w:rsidR="00F33EDB" w:rsidRPr="00F33EDB" w:rsidRDefault="00F33EDB" w:rsidP="00F33EDB">
      <w:pPr>
        <w:rPr>
          <w:rFonts w:ascii="Arial" w:hAnsi="Arial" w:cs="Arial"/>
          <w:b/>
          <w:bCs/>
        </w:rPr>
      </w:pPr>
      <w:r w:rsidRPr="00F33EDB">
        <w:rPr>
          <w:rFonts w:ascii="Arial" w:hAnsi="Arial" w:cs="Arial"/>
          <w:b/>
          <w:bCs/>
        </w:rPr>
        <w:t>3.16.1.7 Good Cause</w:t>
      </w:r>
    </w:p>
    <w:p w14:paraId="1C2D593B" w14:textId="77777777" w:rsidR="00F33EDB" w:rsidRPr="00F33EDB" w:rsidRDefault="00F33EDB" w:rsidP="00F33EDB">
      <w:pPr>
        <w:rPr>
          <w:rFonts w:ascii="Arial" w:hAnsi="Arial" w:cs="Arial"/>
          <w:sz w:val="20"/>
          <w:szCs w:val="20"/>
        </w:rPr>
      </w:pPr>
      <w:r w:rsidRPr="00F33EDB">
        <w:rPr>
          <w:rFonts w:ascii="Arial" w:hAnsi="Arial" w:cs="Arial"/>
          <w:sz w:val="20"/>
          <w:szCs w:val="20"/>
        </w:rPr>
        <w:t>Gender Identity was added as a good cause reason, if the employer discriminates against the applicant or member for that reason.</w:t>
      </w:r>
    </w:p>
    <w:p w14:paraId="12C4F139" w14:textId="77777777" w:rsidR="00F33EDB" w:rsidRPr="00F33EDB" w:rsidRDefault="00F33EDB" w:rsidP="00F33EDB">
      <w:pPr>
        <w:rPr>
          <w:rFonts w:ascii="Arial" w:hAnsi="Arial" w:cs="Arial"/>
          <w:b/>
          <w:bCs/>
        </w:rPr>
      </w:pPr>
      <w:r w:rsidRPr="00F33EDB">
        <w:rPr>
          <w:rFonts w:ascii="Arial" w:hAnsi="Arial" w:cs="Arial"/>
          <w:b/>
          <w:bCs/>
        </w:rPr>
        <w:t xml:space="preserve">3.17.1 Able-Bodied Adults Without Dependents (ABAWDs) </w:t>
      </w:r>
    </w:p>
    <w:p w14:paraId="2866C172" w14:textId="77777777" w:rsidR="00F33EDB" w:rsidRPr="00F33EDB" w:rsidRDefault="00F33EDB" w:rsidP="00F33EDB">
      <w:pPr>
        <w:rPr>
          <w:rFonts w:ascii="Arial" w:hAnsi="Arial" w:cs="Arial"/>
          <w:sz w:val="20"/>
          <w:szCs w:val="20"/>
        </w:rPr>
      </w:pPr>
      <w:r w:rsidRPr="00F33EDB">
        <w:rPr>
          <w:rFonts w:ascii="Arial" w:hAnsi="Arial" w:cs="Arial"/>
          <w:sz w:val="20"/>
          <w:szCs w:val="20"/>
        </w:rPr>
        <w:t xml:space="preserve">This section was updated to reflect the new verbiage and policy related to how TLB’s are determined. These updates were discussed at the 6/24/22 EST regarding Ops Memo 22-11. </w:t>
      </w:r>
    </w:p>
    <w:p w14:paraId="0917EC90" w14:textId="77777777" w:rsidR="00F33EDB" w:rsidRPr="00F33EDB" w:rsidRDefault="00F33EDB" w:rsidP="00F33EDB">
      <w:pPr>
        <w:rPr>
          <w:rFonts w:ascii="Arial" w:hAnsi="Arial" w:cs="Arial"/>
          <w:b/>
          <w:bCs/>
        </w:rPr>
      </w:pPr>
      <w:r w:rsidRPr="00F33EDB">
        <w:rPr>
          <w:rFonts w:ascii="Arial" w:hAnsi="Arial" w:cs="Arial"/>
          <w:b/>
          <w:bCs/>
        </w:rPr>
        <w:t>4.6.4.1 Allowable Medical Expenses</w:t>
      </w:r>
    </w:p>
    <w:p w14:paraId="75DB01FD" w14:textId="77777777" w:rsidR="00F33EDB" w:rsidRPr="00F33EDB" w:rsidRDefault="00F33EDB" w:rsidP="00F33EDB">
      <w:pPr>
        <w:rPr>
          <w:rFonts w:ascii="Arial" w:hAnsi="Arial" w:cs="Arial"/>
          <w:sz w:val="20"/>
          <w:szCs w:val="20"/>
        </w:rPr>
      </w:pPr>
      <w:r w:rsidRPr="00F33EDB">
        <w:rPr>
          <w:rFonts w:ascii="Arial" w:hAnsi="Arial" w:cs="Arial"/>
          <w:sz w:val="20"/>
          <w:szCs w:val="20"/>
        </w:rPr>
        <w:t>Monthly HealthShare contributions was added.</w:t>
      </w:r>
    </w:p>
    <w:p w14:paraId="6DE83128" w14:textId="77777777" w:rsidR="00F33EDB" w:rsidRPr="00F33EDB" w:rsidRDefault="00F33EDB" w:rsidP="00F33EDB">
      <w:pPr>
        <w:rPr>
          <w:rFonts w:ascii="Arial" w:hAnsi="Arial" w:cs="Arial"/>
          <w:b/>
          <w:bCs/>
        </w:rPr>
      </w:pPr>
      <w:r w:rsidRPr="00F33EDB">
        <w:rPr>
          <w:rFonts w:ascii="Arial" w:hAnsi="Arial" w:cs="Arial"/>
          <w:b/>
          <w:bCs/>
        </w:rPr>
        <w:t>4.7.5 Prorated Deeming</w:t>
      </w:r>
    </w:p>
    <w:p w14:paraId="7FB2BB3F" w14:textId="77777777" w:rsidR="00F33EDB" w:rsidRPr="00F33EDB" w:rsidRDefault="00F33EDB" w:rsidP="00F33EDB">
      <w:pPr>
        <w:rPr>
          <w:rFonts w:ascii="Arial" w:hAnsi="Arial" w:cs="Arial"/>
          <w:sz w:val="20"/>
          <w:szCs w:val="20"/>
        </w:rPr>
      </w:pPr>
      <w:r w:rsidRPr="00F33EDB">
        <w:rPr>
          <w:rFonts w:ascii="Arial" w:hAnsi="Arial" w:cs="Arial"/>
          <w:sz w:val="20"/>
          <w:szCs w:val="20"/>
        </w:rPr>
        <w:t xml:space="preserve">The following was added: </w:t>
      </w:r>
    </w:p>
    <w:p w14:paraId="06C65980" w14:textId="77777777" w:rsidR="00F33EDB" w:rsidRPr="00F33EDB" w:rsidRDefault="00F33EDB" w:rsidP="00F33EDB">
      <w:pPr>
        <w:rPr>
          <w:rFonts w:ascii="Arial" w:hAnsi="Arial" w:cs="Arial"/>
          <w:i/>
          <w:iCs/>
          <w:sz w:val="20"/>
          <w:szCs w:val="20"/>
        </w:rPr>
      </w:pPr>
      <w:r w:rsidRPr="00F33EDB">
        <w:rPr>
          <w:rFonts w:ascii="Arial" w:hAnsi="Arial" w:cs="Arial"/>
          <w:i/>
          <w:iCs/>
          <w:sz w:val="20"/>
          <w:szCs w:val="20"/>
        </w:rPr>
        <w:t>Note: ABAWDs who are disqualified from FoodShare eligibility and become a pro-rated deemer will automatically regain eligibility if they are part of an open FoodShare assistance group when the three-year clock restarts.</w:t>
      </w:r>
    </w:p>
    <w:p w14:paraId="02642F7D" w14:textId="77777777" w:rsidR="00F33EDB" w:rsidRPr="00F33EDB" w:rsidRDefault="00F33EDB" w:rsidP="00F33EDB">
      <w:pPr>
        <w:rPr>
          <w:rFonts w:ascii="Arial" w:hAnsi="Arial" w:cs="Arial"/>
          <w:b/>
          <w:bCs/>
        </w:rPr>
      </w:pPr>
      <w:r w:rsidRPr="00F33EDB">
        <w:rPr>
          <w:rFonts w:ascii="Arial" w:hAnsi="Arial" w:cs="Arial"/>
          <w:b/>
          <w:bCs/>
        </w:rPr>
        <w:t>7.1.1.4 Minimum Allotment for One or Two Person Food Units</w:t>
      </w:r>
    </w:p>
    <w:p w14:paraId="587E736C" w14:textId="77777777" w:rsidR="00F33EDB" w:rsidRPr="00F33EDB" w:rsidRDefault="00F33EDB" w:rsidP="00F33EDB">
      <w:pPr>
        <w:rPr>
          <w:rFonts w:ascii="Arial" w:hAnsi="Arial" w:cs="Arial"/>
          <w:sz w:val="20"/>
          <w:szCs w:val="20"/>
        </w:rPr>
      </w:pPr>
      <w:r w:rsidRPr="00F33EDB">
        <w:rPr>
          <w:rFonts w:ascii="Arial" w:hAnsi="Arial" w:cs="Arial"/>
          <w:sz w:val="20"/>
          <w:szCs w:val="20"/>
        </w:rPr>
        <w:t xml:space="preserve">Section updated to reflect the minimum allotment is $20. </w:t>
      </w:r>
    </w:p>
    <w:p w14:paraId="30F38328" w14:textId="77777777" w:rsidR="0076753B" w:rsidRPr="00F33EDB" w:rsidRDefault="0076753B" w:rsidP="0076753B">
      <w:pPr>
        <w:spacing w:line="254" w:lineRule="auto"/>
        <w:rPr>
          <w:rFonts w:ascii="Arial" w:eastAsia="Times New Roman" w:hAnsi="Arial" w:cs="Arial"/>
          <w:b/>
        </w:rPr>
      </w:pPr>
    </w:p>
    <w:p w14:paraId="0A5505A4" w14:textId="77777777" w:rsidR="00B22B23" w:rsidRPr="00F33EDB" w:rsidRDefault="00B22B23" w:rsidP="0076753B">
      <w:pPr>
        <w:spacing w:line="254" w:lineRule="auto"/>
        <w:rPr>
          <w:rFonts w:ascii="Arial" w:hAnsi="Arial" w:cs="Arial"/>
          <w:b/>
          <w:sz w:val="24"/>
          <w:szCs w:val="24"/>
        </w:rPr>
      </w:pPr>
    </w:p>
    <w:p w14:paraId="3F8AC1B2" w14:textId="77777777" w:rsidR="00547A01" w:rsidRPr="00F33EDB" w:rsidRDefault="00547A01">
      <w:pPr>
        <w:rPr>
          <w:rFonts w:ascii="Arial" w:hAnsi="Arial" w:cs="Arial"/>
          <w:color w:val="201F1E"/>
          <w:shd w:val="clear" w:color="auto" w:fill="FFFFFF"/>
        </w:rPr>
      </w:pPr>
    </w:p>
    <w:p w14:paraId="49359D35" w14:textId="77777777" w:rsidR="00547A01" w:rsidRPr="00F33EDB" w:rsidRDefault="00547A01">
      <w:pPr>
        <w:rPr>
          <w:rFonts w:ascii="Arial" w:hAnsi="Arial" w:cs="Arial"/>
          <w:color w:val="201F1E"/>
          <w:shd w:val="clear" w:color="auto" w:fill="FFFFFF"/>
        </w:rPr>
      </w:pPr>
    </w:p>
    <w:p w14:paraId="28DCE866" w14:textId="77777777" w:rsidR="00547A01" w:rsidRPr="00F33EDB" w:rsidRDefault="00547A01">
      <w:pPr>
        <w:rPr>
          <w:rFonts w:ascii="Arial" w:hAnsi="Arial" w:cs="Arial"/>
          <w:color w:val="201F1E"/>
          <w:shd w:val="clear" w:color="auto" w:fill="FFFFFF"/>
        </w:rPr>
      </w:pPr>
    </w:p>
    <w:sectPr w:rsidR="00547A01" w:rsidRPr="00F33ED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41E2C" w14:textId="77777777" w:rsidR="00F14D25" w:rsidRDefault="00F14D25" w:rsidP="001C3BF0">
      <w:pPr>
        <w:spacing w:after="0" w:line="240" w:lineRule="auto"/>
      </w:pPr>
      <w:r>
        <w:separator/>
      </w:r>
    </w:p>
  </w:endnote>
  <w:endnote w:type="continuationSeparator" w:id="0">
    <w:p w14:paraId="6C62DCA7" w14:textId="77777777" w:rsidR="00F14D25" w:rsidRDefault="00F14D25" w:rsidP="001C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692127"/>
      <w:docPartObj>
        <w:docPartGallery w:val="Page Numbers (Bottom of Page)"/>
        <w:docPartUnique/>
      </w:docPartObj>
    </w:sdtPr>
    <w:sdtEndPr>
      <w:rPr>
        <w:noProof/>
      </w:rPr>
    </w:sdtEndPr>
    <w:sdtContent>
      <w:p w14:paraId="659C730A" w14:textId="26991002" w:rsidR="00B22B23" w:rsidRDefault="00B22B23">
        <w:pPr>
          <w:pStyle w:val="Footer"/>
          <w:jc w:val="right"/>
        </w:pPr>
        <w:r>
          <w:fldChar w:fldCharType="begin"/>
        </w:r>
        <w:r>
          <w:instrText xml:space="preserve"> PAGE   \* MERGEFORMAT </w:instrText>
        </w:r>
        <w:r>
          <w:fldChar w:fldCharType="separate"/>
        </w:r>
        <w:r w:rsidR="00323E4C">
          <w:rPr>
            <w:noProof/>
          </w:rPr>
          <w:t>1</w:t>
        </w:r>
        <w:r>
          <w:rPr>
            <w:noProof/>
          </w:rPr>
          <w:fldChar w:fldCharType="end"/>
        </w:r>
      </w:p>
    </w:sdtContent>
  </w:sdt>
  <w:p w14:paraId="57B2CD61" w14:textId="3C259044" w:rsidR="00B22B23" w:rsidRPr="00B22B23" w:rsidRDefault="00B22B23" w:rsidP="00B22B23">
    <w:pPr>
      <w:spacing w:line="254" w:lineRule="auto"/>
      <w:ind w:left="360"/>
      <w:jc w:val="center"/>
      <w:rPr>
        <w:rFonts w:ascii="Arial" w:hAnsi="Arial" w:cs="Arial"/>
        <w:b/>
        <w:sz w:val="24"/>
        <w:szCs w:val="24"/>
      </w:rPr>
    </w:pPr>
    <w:r>
      <w:rPr>
        <w:rFonts w:ascii="Arial" w:hAnsi="Arial" w:cs="Arial"/>
        <w:b/>
        <w:sz w:val="24"/>
        <w:szCs w:val="24"/>
      </w:rPr>
      <w:t>These are the main takeaways. Please read the full releases.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0D3BF" w14:textId="77777777" w:rsidR="00F14D25" w:rsidRDefault="00F14D25" w:rsidP="001C3BF0">
      <w:pPr>
        <w:spacing w:after="0" w:line="240" w:lineRule="auto"/>
      </w:pPr>
      <w:r>
        <w:separator/>
      </w:r>
    </w:p>
  </w:footnote>
  <w:footnote w:type="continuationSeparator" w:id="0">
    <w:p w14:paraId="42D0579F" w14:textId="77777777" w:rsidR="00F14D25" w:rsidRDefault="00F14D25" w:rsidP="001C3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812B" w14:textId="3D16D075" w:rsidR="00596A5A" w:rsidRDefault="00A81C5D" w:rsidP="00A81C5D">
    <w:pPr>
      <w:pStyle w:val="Header"/>
      <w:jc w:val="center"/>
      <w:rPr>
        <w:rFonts w:ascii="Arial" w:hAnsi="Arial" w:cs="Arial"/>
        <w:b/>
      </w:rPr>
    </w:pPr>
    <w:r w:rsidRPr="00596A5A">
      <w:rPr>
        <w:rFonts w:ascii="Arial" w:hAnsi="Arial" w:cs="Arial"/>
        <w:b/>
      </w:rPr>
      <w:t>Recent Release</w:t>
    </w:r>
    <w:r w:rsidR="00B22B23">
      <w:rPr>
        <w:rFonts w:ascii="Arial" w:hAnsi="Arial" w:cs="Arial"/>
        <w:b/>
      </w:rPr>
      <w:t>s</w:t>
    </w:r>
    <w:r w:rsidRPr="00596A5A">
      <w:rPr>
        <w:rFonts w:ascii="Arial" w:hAnsi="Arial" w:cs="Arial"/>
        <w:b/>
      </w:rPr>
      <w:t xml:space="preserve"> </w:t>
    </w:r>
  </w:p>
  <w:p w14:paraId="7708E58D" w14:textId="76937FEB" w:rsidR="001C3BF0" w:rsidRPr="00596A5A" w:rsidRDefault="00B22B23" w:rsidP="00A81C5D">
    <w:pPr>
      <w:pStyle w:val="Header"/>
      <w:jc w:val="center"/>
      <w:rPr>
        <w:rFonts w:ascii="Arial" w:hAnsi="Arial" w:cs="Arial"/>
        <w:b/>
      </w:rPr>
    </w:pPr>
    <w:r>
      <w:rPr>
        <w:rFonts w:ascii="Arial" w:hAnsi="Arial" w:cs="Arial"/>
        <w:b/>
      </w:rPr>
      <w:t>EST 08/25</w:t>
    </w:r>
    <w:r w:rsidR="00A81C5D" w:rsidRPr="00596A5A">
      <w:rPr>
        <w:rFonts w:ascii="Arial" w:hAnsi="Arial" w:cs="Arial"/>
        <w:b/>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49FD"/>
    <w:multiLevelType w:val="hybridMultilevel"/>
    <w:tmpl w:val="8DC6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83B67"/>
    <w:multiLevelType w:val="hybridMultilevel"/>
    <w:tmpl w:val="5AA0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C35CD"/>
    <w:multiLevelType w:val="hybridMultilevel"/>
    <w:tmpl w:val="796E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A1E60"/>
    <w:multiLevelType w:val="hybridMultilevel"/>
    <w:tmpl w:val="94B4450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BB4BFE"/>
    <w:multiLevelType w:val="multilevel"/>
    <w:tmpl w:val="215E5DBA"/>
    <w:lvl w:ilvl="0">
      <w:start w:val="16"/>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AB2A3B"/>
    <w:multiLevelType w:val="hybridMultilevel"/>
    <w:tmpl w:val="53F66A22"/>
    <w:lvl w:ilvl="0" w:tplc="04090001">
      <w:start w:val="1"/>
      <w:numFmt w:val="bullet"/>
      <w:lvlText w:val=""/>
      <w:lvlJc w:val="left"/>
      <w:pPr>
        <w:ind w:left="720" w:hanging="360"/>
      </w:pPr>
      <w:rPr>
        <w:rFonts w:ascii="Symbol" w:hAnsi="Symbol" w:hint="default"/>
      </w:rPr>
    </w:lvl>
    <w:lvl w:ilvl="1" w:tplc="275A32FE">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C5C72"/>
    <w:multiLevelType w:val="hybridMultilevel"/>
    <w:tmpl w:val="39F6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70443"/>
    <w:multiLevelType w:val="hybridMultilevel"/>
    <w:tmpl w:val="5696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2A6DDF"/>
    <w:multiLevelType w:val="hybridMultilevel"/>
    <w:tmpl w:val="A10A8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C7180"/>
    <w:multiLevelType w:val="hybridMultilevel"/>
    <w:tmpl w:val="2250BB7A"/>
    <w:lvl w:ilvl="0" w:tplc="D4BCD36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A4555C"/>
    <w:multiLevelType w:val="hybridMultilevel"/>
    <w:tmpl w:val="3974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077B78"/>
    <w:multiLevelType w:val="hybridMultilevel"/>
    <w:tmpl w:val="945A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5B4F70"/>
    <w:multiLevelType w:val="hybridMultilevel"/>
    <w:tmpl w:val="A430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6"/>
  </w:num>
  <w:num w:numId="5">
    <w:abstractNumId w:val="1"/>
  </w:num>
  <w:num w:numId="6">
    <w:abstractNumId w:val="11"/>
  </w:num>
  <w:num w:numId="7">
    <w:abstractNumId w:val="12"/>
  </w:num>
  <w:num w:numId="8">
    <w:abstractNumId w:val="3"/>
  </w:num>
  <w:num w:numId="9">
    <w:abstractNumId w:val="10"/>
  </w:num>
  <w:num w:numId="10">
    <w:abstractNumId w:val="0"/>
  </w:num>
  <w:num w:numId="11">
    <w:abstractNumId w:val="4"/>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1DB"/>
    <w:rsid w:val="000256B2"/>
    <w:rsid w:val="00121CB3"/>
    <w:rsid w:val="001A41B0"/>
    <w:rsid w:val="001B4569"/>
    <w:rsid w:val="001C3BF0"/>
    <w:rsid w:val="001F66A9"/>
    <w:rsid w:val="00217546"/>
    <w:rsid w:val="0024432A"/>
    <w:rsid w:val="00266702"/>
    <w:rsid w:val="00323E4C"/>
    <w:rsid w:val="00370056"/>
    <w:rsid w:val="00415F8B"/>
    <w:rsid w:val="00547A01"/>
    <w:rsid w:val="00566346"/>
    <w:rsid w:val="00596A5A"/>
    <w:rsid w:val="006061FA"/>
    <w:rsid w:val="00630749"/>
    <w:rsid w:val="006D776A"/>
    <w:rsid w:val="0076753B"/>
    <w:rsid w:val="00787710"/>
    <w:rsid w:val="008E3286"/>
    <w:rsid w:val="009F156B"/>
    <w:rsid w:val="00A42657"/>
    <w:rsid w:val="00A81C5D"/>
    <w:rsid w:val="00AE3744"/>
    <w:rsid w:val="00AF76EB"/>
    <w:rsid w:val="00B22B23"/>
    <w:rsid w:val="00DB61DB"/>
    <w:rsid w:val="00E236CC"/>
    <w:rsid w:val="00F123B5"/>
    <w:rsid w:val="00F14D25"/>
    <w:rsid w:val="00F25F85"/>
    <w:rsid w:val="00F33EDB"/>
    <w:rsid w:val="00FC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44958"/>
  <w15:chartTrackingRefBased/>
  <w15:docId w15:val="{E0DEDD50-08CF-4E66-97DB-0F864047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C5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BF0"/>
  </w:style>
  <w:style w:type="paragraph" w:styleId="Footer">
    <w:name w:val="footer"/>
    <w:basedOn w:val="Normal"/>
    <w:link w:val="FooterChar"/>
    <w:uiPriority w:val="99"/>
    <w:unhideWhenUsed/>
    <w:rsid w:val="001C3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BF0"/>
  </w:style>
  <w:style w:type="paragraph" w:styleId="ListParagraph">
    <w:name w:val="List Paragraph"/>
    <w:basedOn w:val="Normal"/>
    <w:uiPriority w:val="34"/>
    <w:qFormat/>
    <w:rsid w:val="00596A5A"/>
    <w:pPr>
      <w:ind w:left="720"/>
      <w:contextualSpacing/>
    </w:pPr>
  </w:style>
  <w:style w:type="paragraph" w:styleId="NoSpacing">
    <w:name w:val="No Spacing"/>
    <w:uiPriority w:val="1"/>
    <w:qFormat/>
    <w:rsid w:val="00217546"/>
    <w:pPr>
      <w:spacing w:after="0" w:line="240" w:lineRule="auto"/>
    </w:pPr>
  </w:style>
  <w:style w:type="paragraph" w:styleId="NormalWeb">
    <w:name w:val="Normal (Web)"/>
    <w:basedOn w:val="Normal"/>
    <w:uiPriority w:val="99"/>
    <w:semiHidden/>
    <w:unhideWhenUsed/>
    <w:rsid w:val="000256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65518">
      <w:bodyDiv w:val="1"/>
      <w:marLeft w:val="0"/>
      <w:marRight w:val="0"/>
      <w:marTop w:val="0"/>
      <w:marBottom w:val="0"/>
      <w:divBdr>
        <w:top w:val="none" w:sz="0" w:space="0" w:color="auto"/>
        <w:left w:val="none" w:sz="0" w:space="0" w:color="auto"/>
        <w:bottom w:val="none" w:sz="0" w:space="0" w:color="auto"/>
        <w:right w:val="none" w:sz="0" w:space="0" w:color="auto"/>
      </w:divBdr>
    </w:div>
    <w:div w:id="1316378213">
      <w:bodyDiv w:val="1"/>
      <w:marLeft w:val="0"/>
      <w:marRight w:val="0"/>
      <w:marTop w:val="0"/>
      <w:marBottom w:val="0"/>
      <w:divBdr>
        <w:top w:val="none" w:sz="0" w:space="0" w:color="auto"/>
        <w:left w:val="none" w:sz="0" w:space="0" w:color="auto"/>
        <w:bottom w:val="none" w:sz="0" w:space="0" w:color="auto"/>
        <w:right w:val="none" w:sz="0" w:space="0" w:color="auto"/>
      </w:divBdr>
    </w:div>
    <w:div w:id="1491557754">
      <w:bodyDiv w:val="1"/>
      <w:marLeft w:val="0"/>
      <w:marRight w:val="0"/>
      <w:marTop w:val="0"/>
      <w:marBottom w:val="0"/>
      <w:divBdr>
        <w:top w:val="none" w:sz="0" w:space="0" w:color="auto"/>
        <w:left w:val="none" w:sz="0" w:space="0" w:color="auto"/>
        <w:bottom w:val="none" w:sz="0" w:space="0" w:color="auto"/>
        <w:right w:val="none" w:sz="0" w:space="0" w:color="auto"/>
      </w:divBdr>
    </w:div>
    <w:div w:id="176792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04f27ada2238d016c1a9c45cd2b1720e">
  <xsd:schema xmlns:xsd="http://www.w3.org/2001/XMLSchema" xmlns:xs="http://www.w3.org/2001/XMLSchema" xmlns:p="http://schemas.microsoft.com/office/2006/metadata/properties" xmlns:ns2="2f254586-b35f-4441-a040-f54e6e92090e" targetNamespace="http://schemas.microsoft.com/office/2006/metadata/properties" ma:root="true" ma:fieldsID="d8ab4209aa2964d83b90e90605d88346"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Mock Training Scenario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Document_x0020_Type xmlns="2f254586-b35f-4441-a040-f54e6e92090e">
      <Value>EST Meetings</Value>
      <Value>Release Summaries</Value>
    </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639FF-479F-46A5-A73B-7B6578BC4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130709-FA28-412C-A718-025DEDDEB5EC}">
  <ds:schemaRefs>
    <ds:schemaRef ds:uri="http://schemas.microsoft.com/office/2006/metadata/properties"/>
    <ds:schemaRef ds:uri="http://schemas.microsoft.com/office/infopath/2007/PartnerControls"/>
    <ds:schemaRef ds:uri="2f254586-b35f-4441-a040-f54e6e92090e"/>
  </ds:schemaRefs>
</ds:datastoreItem>
</file>

<file path=customXml/itemProps3.xml><?xml version="1.0" encoding="utf-8"?>
<ds:datastoreItem xmlns:ds="http://schemas.openxmlformats.org/officeDocument/2006/customXml" ds:itemID="{70749E94-734C-4F54-9BF9-C076AC7F8CA3}">
  <ds:schemaRefs>
    <ds:schemaRef ds:uri="http://schemas.microsoft.com/sharepoint/v3/contenttype/forms"/>
  </ds:schemaRefs>
</ds:datastoreItem>
</file>

<file path=customXml/itemProps4.xml><?xml version="1.0" encoding="utf-8"?>
<ds:datastoreItem xmlns:ds="http://schemas.openxmlformats.org/officeDocument/2006/customXml" ds:itemID="{6B41F82F-F2A8-49BC-9F31-4B264E0CF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KING</dc:creator>
  <cp:keywords/>
  <dc:description/>
  <cp:lastModifiedBy>MELISSA DYBAS</cp:lastModifiedBy>
  <cp:revision>16</cp:revision>
  <dcterms:created xsi:type="dcterms:W3CDTF">2022-08-08T18:17:00Z</dcterms:created>
  <dcterms:modified xsi:type="dcterms:W3CDTF">2022-08-19T18:46:00Z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