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0C39A" w14:textId="77777777" w:rsidR="00AD7E85" w:rsidRDefault="0023561D" w:rsidP="00DC54FF">
      <w:pPr>
        <w:jc w:val="center"/>
        <w:rPr>
          <w:b/>
          <w:u w:val="single"/>
        </w:rPr>
      </w:pPr>
      <w:r>
        <w:rPr>
          <w:b/>
          <w:u w:val="single"/>
        </w:rPr>
        <w:t>FoodShare</w:t>
      </w:r>
      <w:r w:rsidR="00F65826">
        <w:rPr>
          <w:b/>
          <w:u w:val="single"/>
        </w:rPr>
        <w:t xml:space="preserve"> </w:t>
      </w:r>
      <w:r w:rsidR="00DC54FF">
        <w:rPr>
          <w:b/>
          <w:u w:val="single"/>
        </w:rPr>
        <w:t>Changes</w:t>
      </w:r>
    </w:p>
    <w:p w14:paraId="7BE0C39B" w14:textId="77777777" w:rsidR="00CF2B30" w:rsidRPr="00CF2B30" w:rsidRDefault="00CF2B30" w:rsidP="00CF2B30">
      <w:pPr>
        <w:rPr>
          <w:i/>
        </w:rPr>
      </w:pPr>
      <w:r>
        <w:rPr>
          <w:b/>
        </w:rPr>
        <w:t xml:space="preserve">Change Reporting Methods </w:t>
      </w:r>
    </w:p>
    <w:p w14:paraId="7BE0C39C" w14:textId="77777777" w:rsidR="00CF2B30" w:rsidRDefault="00CF2B30" w:rsidP="00CF2B30">
      <w:pPr>
        <w:pStyle w:val="ListParagraph"/>
        <w:numPr>
          <w:ilvl w:val="0"/>
          <w:numId w:val="5"/>
        </w:numPr>
      </w:pPr>
      <w:r>
        <w:t>Members can report changes using one of the following:</w:t>
      </w:r>
    </w:p>
    <w:p w14:paraId="7BE0C39D" w14:textId="77777777" w:rsidR="00CF2B30" w:rsidRDefault="00CF2B30" w:rsidP="00CF2B30">
      <w:pPr>
        <w:pStyle w:val="ListParagraph"/>
        <w:numPr>
          <w:ilvl w:val="1"/>
          <w:numId w:val="5"/>
        </w:numPr>
      </w:pPr>
      <w:r>
        <w:t xml:space="preserve">ACCESS </w:t>
      </w:r>
    </w:p>
    <w:p w14:paraId="7BE0C39E" w14:textId="77777777" w:rsidR="00CF2B30" w:rsidRDefault="007233ED" w:rsidP="00CF2B30">
      <w:pPr>
        <w:pStyle w:val="ListParagraph"/>
        <w:numPr>
          <w:ilvl w:val="1"/>
          <w:numId w:val="5"/>
        </w:numPr>
      </w:pPr>
      <w:r>
        <w:t xml:space="preserve">Mail or Fax the change </w:t>
      </w:r>
    </w:p>
    <w:p w14:paraId="7BE0C39F" w14:textId="77777777" w:rsidR="007233ED" w:rsidRDefault="007233ED" w:rsidP="00CF2B30">
      <w:pPr>
        <w:pStyle w:val="ListParagraph"/>
        <w:numPr>
          <w:ilvl w:val="1"/>
          <w:numId w:val="5"/>
        </w:numPr>
      </w:pPr>
      <w:r>
        <w:t>Call their agency (SCC)</w:t>
      </w:r>
    </w:p>
    <w:p w14:paraId="7BE0C3A0" w14:textId="77777777" w:rsidR="007233ED" w:rsidRDefault="007233ED" w:rsidP="00CF2B30">
      <w:pPr>
        <w:pStyle w:val="ListParagraph"/>
        <w:numPr>
          <w:ilvl w:val="1"/>
          <w:numId w:val="5"/>
        </w:numPr>
      </w:pPr>
      <w:r>
        <w:t>In person at their local agency</w:t>
      </w:r>
    </w:p>
    <w:p w14:paraId="7BE0C3A1" w14:textId="77777777" w:rsidR="00410310" w:rsidRPr="00CF2B30" w:rsidRDefault="00410310" w:rsidP="00CF2B30">
      <w:pPr>
        <w:pStyle w:val="ListParagraph"/>
        <w:numPr>
          <w:ilvl w:val="1"/>
          <w:numId w:val="5"/>
        </w:numPr>
      </w:pPr>
      <w:r>
        <w:t>Changes Verified on Receipt (through a data exchange or those that do not require verification)</w:t>
      </w:r>
    </w:p>
    <w:p w14:paraId="7BE0C3A2" w14:textId="77777777" w:rsidR="00410310" w:rsidRDefault="00410310" w:rsidP="00410310">
      <w:pPr>
        <w:tabs>
          <w:tab w:val="left" w:pos="1155"/>
        </w:tabs>
      </w:pPr>
      <w:r w:rsidRPr="00410310">
        <w:rPr>
          <w:b/>
        </w:rPr>
        <w:t>Timely Action</w:t>
      </w:r>
      <w:r>
        <w:t xml:space="preserve"> </w:t>
      </w:r>
      <w:r w:rsidRPr="00410310">
        <w:rPr>
          <w:i/>
        </w:rPr>
        <w:t>FS 6.1.3</w:t>
      </w:r>
    </w:p>
    <w:p w14:paraId="7BE0C3A3" w14:textId="3751F3BC" w:rsidR="00410310" w:rsidRPr="00410310" w:rsidRDefault="00410310" w:rsidP="00410310">
      <w:pPr>
        <w:tabs>
          <w:tab w:val="left" w:pos="1155"/>
        </w:tabs>
      </w:pPr>
      <w:r w:rsidRPr="00410310">
        <w:rPr>
          <w:rFonts w:cs="Arial"/>
        </w:rPr>
        <w:t xml:space="preserve">Request verification from the member as soon as possible, following the report of a change. To prevent “failure to act” agency </w:t>
      </w:r>
      <w:r w:rsidRPr="00410310">
        <w:rPr>
          <w:rFonts w:cs="Arial"/>
          <w:iCs/>
        </w:rPr>
        <w:t>QC</w:t>
      </w:r>
      <w:r w:rsidR="007E3FFB">
        <w:rPr>
          <w:rFonts w:cs="Arial"/>
          <w:iCs/>
        </w:rPr>
        <w:t xml:space="preserve"> </w:t>
      </w:r>
      <w:r w:rsidRPr="00410310">
        <w:rPr>
          <w:rStyle w:val="glosstext"/>
          <w:rFonts w:cs="Arial"/>
          <w:vanish/>
        </w:rPr>
        <w:t>Quality Control</w:t>
      </w:r>
      <w:r w:rsidR="007E3FFB">
        <w:rPr>
          <w:rStyle w:val="glosstext"/>
          <w:rFonts w:cs="Arial"/>
          <w:vanish/>
        </w:rPr>
        <w:t>)</w:t>
      </w:r>
      <w:r w:rsidRPr="00410310">
        <w:rPr>
          <w:rFonts w:cs="Arial"/>
        </w:rPr>
        <w:t>errors, IM workers must act on reported changes within 10 days.  As a best practice a worker should process the change as soon as possible and not wait until the 10th day.  </w:t>
      </w:r>
    </w:p>
    <w:p w14:paraId="7BE0C3A4" w14:textId="333DEA70" w:rsidR="00DC54FF" w:rsidRPr="005E48E2" w:rsidRDefault="0089133E" w:rsidP="00DC54FF">
      <w:pPr>
        <w:rPr>
          <w:i/>
        </w:rPr>
      </w:pPr>
      <w:r>
        <w:rPr>
          <w:b/>
        </w:rPr>
        <w:t xml:space="preserve">Reduced </w:t>
      </w:r>
      <w:r w:rsidR="00DC54FF" w:rsidRPr="00DC54FF">
        <w:rPr>
          <w:b/>
        </w:rPr>
        <w:t>Reporting Requirements</w:t>
      </w:r>
      <w:r>
        <w:rPr>
          <w:b/>
        </w:rPr>
        <w:t xml:space="preserve"> for Regular FS Households and EBD Households with </w:t>
      </w:r>
      <w:r w:rsidRPr="00D27AE3">
        <w:rPr>
          <w:b/>
          <w:u w:val="single"/>
        </w:rPr>
        <w:t>no</w:t>
      </w:r>
      <w:r>
        <w:rPr>
          <w:b/>
        </w:rPr>
        <w:t xml:space="preserve"> Earned Income </w:t>
      </w:r>
      <w:r>
        <w:rPr>
          <w:i/>
        </w:rPr>
        <w:t>Ops Memo 19-06</w:t>
      </w:r>
    </w:p>
    <w:p w14:paraId="7BE0C3A5" w14:textId="77777777" w:rsidR="0023561D" w:rsidRPr="0023561D" w:rsidRDefault="0023561D" w:rsidP="0023561D">
      <w:pPr>
        <w:pStyle w:val="ListParagraph"/>
        <w:numPr>
          <w:ilvl w:val="0"/>
          <w:numId w:val="3"/>
        </w:numPr>
        <w:tabs>
          <w:tab w:val="left" w:pos="1155"/>
        </w:tabs>
      </w:pPr>
      <w:r>
        <w:rPr>
          <w:rFonts w:cs="Arial"/>
        </w:rPr>
        <w:t xml:space="preserve">Reduced Reporting Requirement- </w:t>
      </w:r>
      <w:proofErr w:type="gramStart"/>
      <w:r w:rsidRPr="0023561D">
        <w:rPr>
          <w:rFonts w:cs="Arial"/>
        </w:rPr>
        <w:t>As long as</w:t>
      </w:r>
      <w:proofErr w:type="gramEnd"/>
      <w:r w:rsidRPr="0023561D">
        <w:rPr>
          <w:rFonts w:cs="Arial"/>
        </w:rPr>
        <w:t xml:space="preserve"> a food unit's total income is less than 130% of the FPL, a food unit need not report changes in income, assets, address changes, household composition, etc. </w:t>
      </w:r>
    </w:p>
    <w:p w14:paraId="7BE0C3A6" w14:textId="29E76962" w:rsidR="005E48E2" w:rsidRPr="005E48E2" w:rsidRDefault="0089133E" w:rsidP="005E48E2">
      <w:pPr>
        <w:pStyle w:val="ListParagraph"/>
        <w:numPr>
          <w:ilvl w:val="1"/>
          <w:numId w:val="3"/>
        </w:numPr>
      </w:pPr>
      <w:r>
        <w:t>F</w:t>
      </w:r>
      <w:r w:rsidR="005E48E2">
        <w:t>ood units are only required to report changes if their total monthly gross income exceeds 130% of the FPL. This change must be reported by the 10</w:t>
      </w:r>
      <w:r w:rsidR="005E48E2" w:rsidRPr="0023561D">
        <w:rPr>
          <w:vertAlign w:val="superscript"/>
        </w:rPr>
        <w:t>th</w:t>
      </w:r>
      <w:r w:rsidR="005E48E2">
        <w:t xml:space="preserve"> of the month following the month in which the total </w:t>
      </w:r>
      <w:r w:rsidR="005E48E2" w:rsidRPr="005E48E2">
        <w:t xml:space="preserve">income exceeded 130% of the FPL. </w:t>
      </w:r>
    </w:p>
    <w:p w14:paraId="7BE0C3A7" w14:textId="61D217F5" w:rsidR="0023561D" w:rsidRPr="005E48E2" w:rsidRDefault="005E48E2" w:rsidP="005E48E2">
      <w:pPr>
        <w:pStyle w:val="ListParagraph"/>
        <w:numPr>
          <w:ilvl w:val="1"/>
          <w:numId w:val="3"/>
        </w:numPr>
      </w:pPr>
      <w:r w:rsidRPr="005E48E2">
        <w:rPr>
          <w:rFonts w:cs="Arial"/>
        </w:rPr>
        <w:t>The 130% of the FPL reduced reporting level is based on the food unit size determined at the most recently completed certification.</w:t>
      </w:r>
    </w:p>
    <w:p w14:paraId="7BE0C3A8" w14:textId="3B27E3C0" w:rsidR="00F65826" w:rsidRPr="00DC54FF" w:rsidRDefault="00F65826" w:rsidP="005E48E2">
      <w:pPr>
        <w:tabs>
          <w:tab w:val="left" w:pos="1155"/>
        </w:tabs>
      </w:pPr>
      <w:r>
        <w:t>Notice of Decision Example:</w:t>
      </w:r>
    </w:p>
    <w:p w14:paraId="7BE0C3A9" w14:textId="47250477" w:rsidR="00DC54FF" w:rsidRDefault="00F65826" w:rsidP="00F65826">
      <w:pPr>
        <w:tabs>
          <w:tab w:val="left" w:pos="1155"/>
        </w:tabs>
      </w:pPr>
      <w:r>
        <w:rPr>
          <w:noProof/>
        </w:rPr>
        <w:drawing>
          <wp:inline distT="0" distB="0" distL="0" distR="0" wp14:anchorId="7BE0C3D8" wp14:editId="7BE0C3D9">
            <wp:extent cx="5631779" cy="542182"/>
            <wp:effectExtent l="76200" t="76200" r="121920" b="1250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178" t="67212" r="9660" b="19544"/>
                    <a:stretch/>
                  </pic:blipFill>
                  <pic:spPr bwMode="auto">
                    <a:xfrm>
                      <a:off x="0" y="0"/>
                      <a:ext cx="5631779" cy="542182"/>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BE0C3AA" w14:textId="65580CEA" w:rsidR="005E48E2" w:rsidRDefault="005E48E2" w:rsidP="00CF2B30">
      <w:pPr>
        <w:tabs>
          <w:tab w:val="left" w:pos="1155"/>
        </w:tabs>
        <w:rPr>
          <w:i/>
        </w:rPr>
      </w:pPr>
      <w:r>
        <w:rPr>
          <w:b/>
        </w:rPr>
        <w:t>Reporting Requirements EBD</w:t>
      </w:r>
      <w:r w:rsidR="0089133E">
        <w:rPr>
          <w:b/>
        </w:rPr>
        <w:t xml:space="preserve"> Households with Earned Income</w:t>
      </w:r>
      <w:r>
        <w:rPr>
          <w:b/>
        </w:rPr>
        <w:t xml:space="preserve"> </w:t>
      </w:r>
      <w:r w:rsidR="0089133E">
        <w:rPr>
          <w:i/>
        </w:rPr>
        <w:t>Ops Memo 19-06</w:t>
      </w:r>
    </w:p>
    <w:p w14:paraId="7BE0C3AB" w14:textId="2D09EB26" w:rsidR="005E48E2" w:rsidRPr="005E48E2" w:rsidRDefault="005E48E2" w:rsidP="005E48E2">
      <w:pPr>
        <w:pStyle w:val="ListParagraph"/>
        <w:numPr>
          <w:ilvl w:val="0"/>
          <w:numId w:val="6"/>
        </w:numPr>
        <w:tabs>
          <w:tab w:val="left" w:pos="1155"/>
        </w:tabs>
      </w:pPr>
      <w:r w:rsidRPr="005E48E2">
        <w:rPr>
          <w:rFonts w:cs="Arial"/>
        </w:rPr>
        <w:t xml:space="preserve">Elderly, Blind, or Disabled (EBD) food units are those where all food unit members are </w:t>
      </w:r>
      <w:r w:rsidR="0089133E">
        <w:rPr>
          <w:rFonts w:cs="Arial"/>
        </w:rPr>
        <w:t xml:space="preserve">elderly, blind, or disabled. If a member of </w:t>
      </w:r>
      <w:r w:rsidRPr="005E48E2">
        <w:rPr>
          <w:rFonts w:cs="Arial"/>
        </w:rPr>
        <w:t>this fo</w:t>
      </w:r>
      <w:r w:rsidR="0089133E">
        <w:rPr>
          <w:rFonts w:cs="Arial"/>
        </w:rPr>
        <w:t>od unit has earned income, the food unit is</w:t>
      </w:r>
      <w:r w:rsidRPr="005E48E2">
        <w:rPr>
          <w:rFonts w:cs="Arial"/>
        </w:rPr>
        <w:t xml:space="preserve"> required to report the following changes within 10 days</w:t>
      </w:r>
      <w:r>
        <w:rPr>
          <w:rFonts w:cs="Arial"/>
        </w:rPr>
        <w:t>:</w:t>
      </w:r>
    </w:p>
    <w:p w14:paraId="7BE0C3AC" w14:textId="77777777" w:rsidR="005E48E2" w:rsidRPr="005E48E2" w:rsidRDefault="005E48E2" w:rsidP="005E48E2">
      <w:pPr>
        <w:pStyle w:val="ListParagraph"/>
        <w:numPr>
          <w:ilvl w:val="1"/>
          <w:numId w:val="6"/>
        </w:numPr>
        <w:tabs>
          <w:tab w:val="left" w:pos="1155"/>
        </w:tabs>
      </w:pPr>
      <w:r>
        <w:rPr>
          <w:rFonts w:cs="Arial"/>
        </w:rPr>
        <w:t>Number of people in the home</w:t>
      </w:r>
    </w:p>
    <w:p w14:paraId="7BE0C3AD" w14:textId="77777777" w:rsidR="005E48E2" w:rsidRPr="005E48E2" w:rsidRDefault="005E48E2" w:rsidP="005E48E2">
      <w:pPr>
        <w:pStyle w:val="ListParagraph"/>
        <w:numPr>
          <w:ilvl w:val="2"/>
          <w:numId w:val="6"/>
        </w:numPr>
        <w:tabs>
          <w:tab w:val="left" w:pos="1155"/>
        </w:tabs>
      </w:pPr>
      <w:r>
        <w:rPr>
          <w:rFonts w:cs="Arial"/>
        </w:rPr>
        <w:t>When a person is born or dies, and/or</w:t>
      </w:r>
    </w:p>
    <w:p w14:paraId="7BE0C3AE" w14:textId="77777777" w:rsidR="005E48E2" w:rsidRPr="005E48E2" w:rsidRDefault="005E48E2" w:rsidP="005E48E2">
      <w:pPr>
        <w:pStyle w:val="ListParagraph"/>
        <w:numPr>
          <w:ilvl w:val="2"/>
          <w:numId w:val="6"/>
        </w:numPr>
        <w:tabs>
          <w:tab w:val="left" w:pos="1155"/>
        </w:tabs>
      </w:pPr>
      <w:r>
        <w:rPr>
          <w:rFonts w:cs="Arial"/>
        </w:rPr>
        <w:t>When someone moves in or out of the home.</w:t>
      </w:r>
    </w:p>
    <w:p w14:paraId="7BE0C3AF" w14:textId="77777777" w:rsidR="005E48E2" w:rsidRPr="005E48E2" w:rsidRDefault="005E48E2" w:rsidP="005E48E2">
      <w:pPr>
        <w:pStyle w:val="ListParagraph"/>
        <w:numPr>
          <w:ilvl w:val="1"/>
          <w:numId w:val="6"/>
        </w:numPr>
        <w:tabs>
          <w:tab w:val="left" w:pos="1155"/>
        </w:tabs>
      </w:pPr>
      <w:r>
        <w:rPr>
          <w:rFonts w:cs="Arial"/>
        </w:rPr>
        <w:t>Income</w:t>
      </w:r>
    </w:p>
    <w:p w14:paraId="7BE0C3B0" w14:textId="77777777" w:rsidR="005E48E2" w:rsidRPr="005E48E2" w:rsidRDefault="005E48E2" w:rsidP="005E48E2">
      <w:pPr>
        <w:pStyle w:val="ListParagraph"/>
        <w:numPr>
          <w:ilvl w:val="2"/>
          <w:numId w:val="6"/>
        </w:numPr>
        <w:tabs>
          <w:tab w:val="left" w:pos="1155"/>
        </w:tabs>
      </w:pPr>
      <w:r>
        <w:rPr>
          <w:rFonts w:cs="Arial"/>
        </w:rPr>
        <w:t>A new source of income, and/or</w:t>
      </w:r>
    </w:p>
    <w:p w14:paraId="7BE0C3B1" w14:textId="2F475A4F" w:rsidR="005E48E2" w:rsidRPr="005E48E2" w:rsidRDefault="00D27AE3" w:rsidP="005E48E2">
      <w:pPr>
        <w:pStyle w:val="ListParagraph"/>
        <w:numPr>
          <w:ilvl w:val="2"/>
          <w:numId w:val="6"/>
        </w:numPr>
        <w:tabs>
          <w:tab w:val="left" w:pos="1155"/>
        </w:tabs>
      </w:pPr>
      <w:r>
        <w:rPr>
          <w:rFonts w:cs="Arial"/>
        </w:rPr>
        <w:t>More than $100</w:t>
      </w:r>
      <w:r w:rsidR="005E48E2">
        <w:rPr>
          <w:rFonts w:cs="Arial"/>
        </w:rPr>
        <w:t xml:space="preserve"> a month increase from a current source of income.</w:t>
      </w:r>
    </w:p>
    <w:p w14:paraId="7BE0C3B2" w14:textId="77777777" w:rsidR="005E48E2" w:rsidRPr="005E48E2" w:rsidRDefault="005E48E2" w:rsidP="005E48E2">
      <w:pPr>
        <w:pStyle w:val="ListParagraph"/>
        <w:numPr>
          <w:ilvl w:val="1"/>
          <w:numId w:val="6"/>
        </w:numPr>
        <w:tabs>
          <w:tab w:val="left" w:pos="1155"/>
        </w:tabs>
      </w:pPr>
      <w:r>
        <w:rPr>
          <w:rFonts w:cs="Arial"/>
        </w:rPr>
        <w:t>Address or Shelter Expense</w:t>
      </w:r>
    </w:p>
    <w:p w14:paraId="7BE0C3B3" w14:textId="77777777" w:rsidR="005E48E2" w:rsidRPr="005E48E2" w:rsidRDefault="005E48E2" w:rsidP="005E48E2">
      <w:pPr>
        <w:pStyle w:val="ListParagraph"/>
        <w:numPr>
          <w:ilvl w:val="2"/>
          <w:numId w:val="6"/>
        </w:numPr>
        <w:tabs>
          <w:tab w:val="left" w:pos="1155"/>
        </w:tabs>
      </w:pPr>
      <w:r>
        <w:rPr>
          <w:rFonts w:cs="Arial"/>
        </w:rPr>
        <w:t>New address when a move takes place, and</w:t>
      </w:r>
    </w:p>
    <w:p w14:paraId="7BE0C3B4" w14:textId="77777777" w:rsidR="005E48E2" w:rsidRPr="005E48E2" w:rsidRDefault="005E48E2" w:rsidP="005E48E2">
      <w:pPr>
        <w:pStyle w:val="ListParagraph"/>
        <w:numPr>
          <w:ilvl w:val="2"/>
          <w:numId w:val="6"/>
        </w:numPr>
        <w:tabs>
          <w:tab w:val="left" w:pos="1155"/>
        </w:tabs>
      </w:pPr>
      <w:r>
        <w:rPr>
          <w:rFonts w:cs="Arial"/>
        </w:rPr>
        <w:t xml:space="preserve">Changes in shelter and utility expense obligations if a move occurs. </w:t>
      </w:r>
    </w:p>
    <w:p w14:paraId="7BE0C3B5" w14:textId="77777777" w:rsidR="005E48E2" w:rsidRPr="005E48E2" w:rsidRDefault="005E48E2" w:rsidP="005E48E2">
      <w:pPr>
        <w:pStyle w:val="ListParagraph"/>
        <w:numPr>
          <w:ilvl w:val="1"/>
          <w:numId w:val="6"/>
        </w:numPr>
        <w:tabs>
          <w:tab w:val="left" w:pos="1155"/>
        </w:tabs>
      </w:pPr>
      <w:r>
        <w:rPr>
          <w:rFonts w:cs="Arial"/>
        </w:rPr>
        <w:t xml:space="preserve">Any change in legal obligation to pay Child Support. </w:t>
      </w:r>
    </w:p>
    <w:p w14:paraId="7BE0C3B7" w14:textId="3A220284" w:rsidR="00410310" w:rsidRPr="0089133E" w:rsidRDefault="00410310" w:rsidP="00410310">
      <w:pPr>
        <w:tabs>
          <w:tab w:val="left" w:pos="1155"/>
        </w:tabs>
      </w:pPr>
      <w:r w:rsidRPr="00410310">
        <w:t xml:space="preserve">*** </w:t>
      </w:r>
      <w:r w:rsidRPr="00410310">
        <w:rPr>
          <w:rFonts w:cs="Arial"/>
        </w:rPr>
        <w:t>Changes must be reported to the FoodShare agency within 10 days of the date the change is known to the food unit, except for reporting receipt of a new job. Then the change must be reported within 10 days from when the job starts.</w:t>
      </w:r>
    </w:p>
    <w:p w14:paraId="7BE0C3B8" w14:textId="77777777" w:rsidR="00410310" w:rsidRPr="00410310" w:rsidRDefault="00410310" w:rsidP="00410310">
      <w:pPr>
        <w:tabs>
          <w:tab w:val="left" w:pos="1155"/>
        </w:tabs>
        <w:rPr>
          <w:i/>
        </w:rPr>
      </w:pPr>
      <w:r w:rsidRPr="00410310">
        <w:rPr>
          <w:b/>
        </w:rPr>
        <w:lastRenderedPageBreak/>
        <w:t xml:space="preserve">Six Month Reporting Requirement </w:t>
      </w:r>
      <w:r w:rsidRPr="00410310">
        <w:rPr>
          <w:i/>
        </w:rPr>
        <w:t>FS 6.1.2</w:t>
      </w:r>
    </w:p>
    <w:p w14:paraId="7BE0C3B9" w14:textId="77777777" w:rsidR="00410310" w:rsidRPr="00410310" w:rsidRDefault="00410310" w:rsidP="00410310">
      <w:pPr>
        <w:pStyle w:val="ListParagraph"/>
        <w:numPr>
          <w:ilvl w:val="0"/>
          <w:numId w:val="2"/>
        </w:numPr>
        <w:tabs>
          <w:tab w:val="left" w:pos="1155"/>
        </w:tabs>
      </w:pPr>
      <w:r w:rsidRPr="00410310">
        <w:t>The following changes in income must be reported on the SMRF for FoodShare members</w:t>
      </w:r>
    </w:p>
    <w:p w14:paraId="7BE0C3BA" w14:textId="34AFFA6B" w:rsidR="00410310" w:rsidRPr="00410310" w:rsidRDefault="0089133E" w:rsidP="00410310">
      <w:pPr>
        <w:pStyle w:val="ListParagraph"/>
        <w:numPr>
          <w:ilvl w:val="1"/>
          <w:numId w:val="2"/>
        </w:numPr>
        <w:tabs>
          <w:tab w:val="left" w:pos="1155"/>
        </w:tabs>
      </w:pPr>
      <w:r>
        <w:rPr>
          <w:rFonts w:eastAsia="Times New Roman" w:cs="Times New Roman"/>
        </w:rPr>
        <w:t>Change of $100</w:t>
      </w:r>
      <w:r w:rsidR="00410310" w:rsidRPr="00410310">
        <w:rPr>
          <w:rFonts w:eastAsia="Times New Roman" w:cs="Times New Roman"/>
        </w:rPr>
        <w:t xml:space="preserve"> or more in unearned income based on the most recently verified amount.</w:t>
      </w:r>
    </w:p>
    <w:p w14:paraId="7BE0C3BB" w14:textId="77777777" w:rsidR="00410310" w:rsidRPr="00410310" w:rsidRDefault="00410310" w:rsidP="00410310">
      <w:pPr>
        <w:pStyle w:val="ListParagraph"/>
        <w:numPr>
          <w:ilvl w:val="1"/>
          <w:numId w:val="2"/>
        </w:numPr>
        <w:tabs>
          <w:tab w:val="left" w:pos="1155"/>
        </w:tabs>
      </w:pPr>
      <w:r w:rsidRPr="00410310">
        <w:rPr>
          <w:rFonts w:eastAsia="Times New Roman" w:cs="Times New Roman"/>
        </w:rPr>
        <w:t>Changes in earned income (from the most recently verified information) that must be reported includes:</w:t>
      </w:r>
    </w:p>
    <w:p w14:paraId="7BE0C3BC" w14:textId="77777777" w:rsidR="00410310" w:rsidRPr="00410310" w:rsidRDefault="00410310" w:rsidP="00410310">
      <w:pPr>
        <w:pStyle w:val="ListParagraph"/>
        <w:numPr>
          <w:ilvl w:val="2"/>
          <w:numId w:val="2"/>
        </w:numPr>
        <w:tabs>
          <w:tab w:val="left" w:pos="1155"/>
        </w:tabs>
      </w:pPr>
      <w:r w:rsidRPr="00410310">
        <w:rPr>
          <w:rFonts w:eastAsia="Times New Roman" w:cs="Times New Roman"/>
        </w:rPr>
        <w:t>Rate of pay,</w:t>
      </w:r>
    </w:p>
    <w:p w14:paraId="7BE0C3BD" w14:textId="77777777" w:rsidR="00410310" w:rsidRPr="00410310" w:rsidRDefault="00410310" w:rsidP="00410310">
      <w:pPr>
        <w:pStyle w:val="ListParagraph"/>
        <w:numPr>
          <w:ilvl w:val="2"/>
          <w:numId w:val="2"/>
        </w:numPr>
        <w:tabs>
          <w:tab w:val="left" w:pos="1155"/>
        </w:tabs>
      </w:pPr>
      <w:r w:rsidRPr="00410310">
        <w:rPr>
          <w:rFonts w:eastAsia="Times New Roman" w:cs="Times New Roman"/>
        </w:rPr>
        <w:t>Number of hours worked,</w:t>
      </w:r>
    </w:p>
    <w:p w14:paraId="7BE0C3BE" w14:textId="77777777" w:rsidR="00410310" w:rsidRPr="00410310" w:rsidRDefault="00410310" w:rsidP="00410310">
      <w:pPr>
        <w:pStyle w:val="ListParagraph"/>
        <w:numPr>
          <w:ilvl w:val="2"/>
          <w:numId w:val="2"/>
        </w:numPr>
        <w:tabs>
          <w:tab w:val="left" w:pos="1155"/>
        </w:tabs>
      </w:pPr>
      <w:r w:rsidRPr="00410310">
        <w:rPr>
          <w:rFonts w:eastAsia="Times New Roman" w:cs="Times New Roman"/>
        </w:rPr>
        <w:t>Loss of job,</w:t>
      </w:r>
    </w:p>
    <w:p w14:paraId="7BE0C3BF" w14:textId="77777777" w:rsidR="00410310" w:rsidRPr="00410310" w:rsidRDefault="00410310" w:rsidP="00410310">
      <w:pPr>
        <w:pStyle w:val="ListParagraph"/>
        <w:numPr>
          <w:ilvl w:val="2"/>
          <w:numId w:val="2"/>
        </w:numPr>
        <w:tabs>
          <w:tab w:val="left" w:pos="1155"/>
        </w:tabs>
      </w:pPr>
      <w:r w:rsidRPr="00410310">
        <w:rPr>
          <w:rFonts w:eastAsia="Times New Roman" w:cs="Times New Roman"/>
        </w:rPr>
        <w:t>Change from full to part-time, and</w:t>
      </w:r>
    </w:p>
    <w:p w14:paraId="7BE0C3C0" w14:textId="77777777" w:rsidR="00410310" w:rsidRPr="00410310" w:rsidRDefault="00410310" w:rsidP="00410310">
      <w:pPr>
        <w:pStyle w:val="ListParagraph"/>
        <w:numPr>
          <w:ilvl w:val="2"/>
          <w:numId w:val="2"/>
        </w:numPr>
        <w:tabs>
          <w:tab w:val="left" w:pos="1155"/>
        </w:tabs>
      </w:pPr>
      <w:r w:rsidRPr="00410310">
        <w:rPr>
          <w:rFonts w:eastAsia="Times New Roman" w:cs="Times New Roman"/>
        </w:rPr>
        <w:t>New employment.</w:t>
      </w:r>
    </w:p>
    <w:p w14:paraId="7BE0C3C1" w14:textId="77777777" w:rsidR="00410310" w:rsidRPr="00410310" w:rsidRDefault="00410310" w:rsidP="00410310">
      <w:pPr>
        <w:pStyle w:val="ListParagraph"/>
        <w:numPr>
          <w:ilvl w:val="0"/>
          <w:numId w:val="2"/>
        </w:numPr>
        <w:tabs>
          <w:tab w:val="left" w:pos="1155"/>
        </w:tabs>
      </w:pPr>
      <w:r w:rsidRPr="00410310">
        <w:rPr>
          <w:rFonts w:eastAsia="Times New Roman" w:cs="Times New Roman"/>
        </w:rPr>
        <w:t>Other changes that must be reported on the SMRF are:</w:t>
      </w:r>
    </w:p>
    <w:p w14:paraId="7BE0C3C2" w14:textId="77777777" w:rsidR="00410310" w:rsidRPr="00410310" w:rsidRDefault="00410310" w:rsidP="00410310">
      <w:pPr>
        <w:pStyle w:val="ListParagraph"/>
        <w:numPr>
          <w:ilvl w:val="1"/>
          <w:numId w:val="2"/>
        </w:numPr>
        <w:tabs>
          <w:tab w:val="left" w:pos="1155"/>
        </w:tabs>
      </w:pPr>
      <w:r w:rsidRPr="00410310">
        <w:rPr>
          <w:rFonts w:eastAsia="Times New Roman" w:cs="Times New Roman"/>
        </w:rPr>
        <w:t>Household composition (persons that have moved in or out, including newborns),</w:t>
      </w:r>
    </w:p>
    <w:p w14:paraId="7BE0C3C3" w14:textId="77777777" w:rsidR="00410310" w:rsidRPr="00410310" w:rsidRDefault="00410310" w:rsidP="00410310">
      <w:pPr>
        <w:pStyle w:val="ListParagraph"/>
        <w:numPr>
          <w:ilvl w:val="1"/>
          <w:numId w:val="2"/>
        </w:numPr>
        <w:tabs>
          <w:tab w:val="left" w:pos="1155"/>
        </w:tabs>
      </w:pPr>
      <w:r w:rsidRPr="00410310">
        <w:rPr>
          <w:rFonts w:eastAsia="Times New Roman" w:cs="Times New Roman"/>
        </w:rPr>
        <w:t>New address and resulting changes in shelter expenses, and</w:t>
      </w:r>
    </w:p>
    <w:p w14:paraId="7BE0C3C4" w14:textId="77777777" w:rsidR="00410310" w:rsidRPr="00410310" w:rsidRDefault="00410310" w:rsidP="00410310">
      <w:pPr>
        <w:pStyle w:val="ListParagraph"/>
        <w:numPr>
          <w:ilvl w:val="1"/>
          <w:numId w:val="2"/>
        </w:numPr>
        <w:tabs>
          <w:tab w:val="left" w:pos="1155"/>
        </w:tabs>
      </w:pPr>
      <w:r w:rsidRPr="00410310">
        <w:rPr>
          <w:rFonts w:eastAsia="Times New Roman" w:cs="Times New Roman"/>
        </w:rPr>
        <w:t>Change in legal obligation to pay child support</w:t>
      </w:r>
      <w:r w:rsidRPr="00410310">
        <w:rPr>
          <w:rFonts w:ascii="Times New Roman" w:eastAsia="Times New Roman" w:hAnsi="Times New Roman" w:cs="Times New Roman"/>
        </w:rPr>
        <w:t>.</w:t>
      </w:r>
    </w:p>
    <w:p w14:paraId="7BE0C3C5" w14:textId="77777777" w:rsidR="00410310" w:rsidRDefault="00410310" w:rsidP="00410310">
      <w:pPr>
        <w:tabs>
          <w:tab w:val="left" w:pos="1155"/>
        </w:tabs>
        <w:rPr>
          <w:i/>
        </w:rPr>
      </w:pPr>
      <w:r w:rsidRPr="00410310">
        <w:rPr>
          <w:b/>
        </w:rPr>
        <w:t>Changes that Cause an Increase in Benefits</w:t>
      </w:r>
      <w:r>
        <w:t xml:space="preserve"> </w:t>
      </w:r>
      <w:r w:rsidRPr="00410310">
        <w:rPr>
          <w:i/>
        </w:rPr>
        <w:t>FS 6.1.3.3</w:t>
      </w:r>
    </w:p>
    <w:p w14:paraId="7BE0C3C6" w14:textId="77777777" w:rsidR="00410310" w:rsidRDefault="000601DF" w:rsidP="00410310">
      <w:pPr>
        <w:tabs>
          <w:tab w:val="left" w:pos="1155"/>
        </w:tabs>
      </w:pPr>
      <w:r>
        <w:t xml:space="preserve">All reported changes that cause an increase in FS allotment including person/baby add, increase in expense, decrease or end of income, etc., will be effective the next benefits month following the month of report if verification of the reported change is received within 10 days. </w:t>
      </w:r>
    </w:p>
    <w:p w14:paraId="7BE0C3C7" w14:textId="77777777" w:rsidR="000601DF" w:rsidRDefault="000601DF" w:rsidP="000601DF">
      <w:pPr>
        <w:tabs>
          <w:tab w:val="left" w:pos="1155"/>
        </w:tabs>
        <w:ind w:left="1155"/>
      </w:pPr>
      <w:r>
        <w:t>Example: A job loss is reported November 16</w:t>
      </w:r>
      <w:r w:rsidRPr="000601DF">
        <w:rPr>
          <w:vertAlign w:val="superscript"/>
        </w:rPr>
        <w:t>th</w:t>
      </w:r>
      <w:r>
        <w:t xml:space="preserve"> that causes an increase in the FS allotment. This increase would not take effect until December 1st as that is the next benefit month following the reported change. </w:t>
      </w:r>
    </w:p>
    <w:p w14:paraId="7BE0C3C8" w14:textId="77777777" w:rsidR="00410310" w:rsidRDefault="000601DF" w:rsidP="00410310">
      <w:pPr>
        <w:tabs>
          <w:tab w:val="left" w:pos="1155"/>
        </w:tabs>
      </w:pPr>
      <w:r>
        <w:t>*** A supplement may need to be requested if the change was reported and/or verified after adverse action.</w:t>
      </w:r>
    </w:p>
    <w:p w14:paraId="7BE0C3C9" w14:textId="77777777" w:rsidR="000601DF" w:rsidRDefault="000601DF" w:rsidP="000601DF">
      <w:pPr>
        <w:tabs>
          <w:tab w:val="left" w:pos="1155"/>
        </w:tabs>
        <w:rPr>
          <w:i/>
        </w:rPr>
      </w:pPr>
      <w:r>
        <w:rPr>
          <w:b/>
        </w:rPr>
        <w:t>Changes that Cause a Decrease</w:t>
      </w:r>
      <w:r w:rsidRPr="00410310">
        <w:rPr>
          <w:b/>
        </w:rPr>
        <w:t xml:space="preserve"> in Benefits</w:t>
      </w:r>
      <w:r>
        <w:t xml:space="preserve"> </w:t>
      </w:r>
      <w:r>
        <w:rPr>
          <w:i/>
        </w:rPr>
        <w:t>FS 6.1.3.6</w:t>
      </w:r>
    </w:p>
    <w:p w14:paraId="7BE0C3CA" w14:textId="77777777" w:rsidR="000601DF" w:rsidRPr="000601DF" w:rsidRDefault="000601DF" w:rsidP="000601DF">
      <w:pPr>
        <w:tabs>
          <w:tab w:val="left" w:pos="1155"/>
        </w:tabs>
      </w:pPr>
      <w:r>
        <w:t xml:space="preserve">All reported changes that result in a decrease of benefits must allow for adequate negative notice to be issued to the client. </w:t>
      </w:r>
    </w:p>
    <w:p w14:paraId="7BE0C3CB" w14:textId="77777777" w:rsidR="000601DF" w:rsidRDefault="000601DF" w:rsidP="000601DF">
      <w:pPr>
        <w:tabs>
          <w:tab w:val="left" w:pos="1155"/>
        </w:tabs>
        <w:ind w:left="1155"/>
      </w:pPr>
      <w:r>
        <w:t>Example: A new income source that would cause a decrease in FS is reported November 16</w:t>
      </w:r>
      <w:r w:rsidRPr="000601DF">
        <w:rPr>
          <w:vertAlign w:val="superscript"/>
        </w:rPr>
        <w:t>th</w:t>
      </w:r>
      <w:r>
        <w:t xml:space="preserve"> and verified November 21</w:t>
      </w:r>
      <w:r w:rsidRPr="000601DF">
        <w:rPr>
          <w:vertAlign w:val="superscript"/>
        </w:rPr>
        <w:t>st</w:t>
      </w:r>
      <w:r>
        <w:t>. Since adverse action was November 16</w:t>
      </w:r>
      <w:r w:rsidRPr="000601DF">
        <w:rPr>
          <w:vertAlign w:val="superscript"/>
        </w:rPr>
        <w:t>th</w:t>
      </w:r>
      <w:r>
        <w:t xml:space="preserve"> and December FS has already been determined, the FS decrease will not happen until January 1</w:t>
      </w:r>
      <w:r w:rsidRPr="000601DF">
        <w:rPr>
          <w:vertAlign w:val="superscript"/>
        </w:rPr>
        <w:t>st</w:t>
      </w:r>
      <w:r>
        <w:t>.</w:t>
      </w:r>
    </w:p>
    <w:p w14:paraId="7BE0C3CC" w14:textId="77777777" w:rsidR="000601DF" w:rsidRDefault="003F73FB" w:rsidP="00410310">
      <w:pPr>
        <w:tabs>
          <w:tab w:val="left" w:pos="1155"/>
        </w:tabs>
        <w:rPr>
          <w:i/>
        </w:rPr>
      </w:pPr>
      <w:r w:rsidRPr="003F73FB">
        <w:rPr>
          <w:b/>
        </w:rPr>
        <w:t xml:space="preserve">Transitional FoodShare </w:t>
      </w:r>
      <w:r>
        <w:rPr>
          <w:b/>
        </w:rPr>
        <w:t xml:space="preserve">(TFS) </w:t>
      </w:r>
      <w:r w:rsidRPr="003F73FB">
        <w:rPr>
          <w:b/>
        </w:rPr>
        <w:t>Change Reporting Requirements</w:t>
      </w:r>
      <w:r>
        <w:t xml:space="preserve"> </w:t>
      </w:r>
      <w:r w:rsidRPr="003F73FB">
        <w:rPr>
          <w:i/>
        </w:rPr>
        <w:t>FS 5.1.1.3</w:t>
      </w:r>
    </w:p>
    <w:p w14:paraId="7BE0C3CD" w14:textId="77777777" w:rsidR="003F73FB" w:rsidRDefault="003F73FB" w:rsidP="003F73FB">
      <w:pPr>
        <w:pStyle w:val="ListParagraph"/>
        <w:numPr>
          <w:ilvl w:val="0"/>
          <w:numId w:val="9"/>
        </w:numPr>
        <w:tabs>
          <w:tab w:val="left" w:pos="1155"/>
        </w:tabs>
      </w:pPr>
      <w:r>
        <w:t>The food unit has no change reporting requirements during the five-month TFS benefit period.</w:t>
      </w:r>
    </w:p>
    <w:p w14:paraId="7BE0C3CE" w14:textId="77777777" w:rsidR="003F73FB" w:rsidRDefault="003F73FB" w:rsidP="003F73FB">
      <w:pPr>
        <w:pStyle w:val="ListParagraph"/>
        <w:numPr>
          <w:ilvl w:val="1"/>
          <w:numId w:val="9"/>
        </w:numPr>
        <w:tabs>
          <w:tab w:val="left" w:pos="1155"/>
        </w:tabs>
      </w:pPr>
      <w:r>
        <w:t>Exceptions</w:t>
      </w:r>
    </w:p>
    <w:p w14:paraId="7BE0C3CF" w14:textId="77777777" w:rsidR="003F73FB" w:rsidRDefault="003F73FB" w:rsidP="003F73FB">
      <w:pPr>
        <w:pStyle w:val="ListParagraph"/>
        <w:numPr>
          <w:ilvl w:val="2"/>
          <w:numId w:val="9"/>
        </w:numPr>
        <w:tabs>
          <w:tab w:val="left" w:pos="1155"/>
        </w:tabs>
      </w:pPr>
      <w:r>
        <w:t xml:space="preserve">If it is reported that the primary person moves out of the home, TFS benefits will end and the case will close. </w:t>
      </w:r>
    </w:p>
    <w:p w14:paraId="7BE0C3D0" w14:textId="77777777" w:rsidR="003F73FB" w:rsidRDefault="003F73FB" w:rsidP="003F73FB">
      <w:pPr>
        <w:pStyle w:val="ListParagraph"/>
        <w:numPr>
          <w:ilvl w:val="2"/>
          <w:numId w:val="9"/>
        </w:numPr>
        <w:tabs>
          <w:tab w:val="left" w:pos="1155"/>
        </w:tabs>
      </w:pPr>
      <w:r>
        <w:t>If the agency becomes aware that the primary person moves out of state, the TFS benefits should end.</w:t>
      </w:r>
    </w:p>
    <w:p w14:paraId="7BE0C3D1" w14:textId="77777777" w:rsidR="003F73FB" w:rsidRDefault="003F73FB" w:rsidP="003F73FB">
      <w:pPr>
        <w:pStyle w:val="ListParagraph"/>
        <w:numPr>
          <w:ilvl w:val="0"/>
          <w:numId w:val="9"/>
        </w:numPr>
        <w:tabs>
          <w:tab w:val="left" w:pos="1155"/>
        </w:tabs>
      </w:pPr>
      <w:r>
        <w:t xml:space="preserve">Changes reported and acted upon for other program will not change the TFS benefit allotment. </w:t>
      </w:r>
    </w:p>
    <w:p w14:paraId="7BE0C3D2" w14:textId="77777777" w:rsidR="003F73FB" w:rsidRDefault="003F73FB" w:rsidP="003F73FB">
      <w:pPr>
        <w:pStyle w:val="ListParagraph"/>
        <w:numPr>
          <w:ilvl w:val="0"/>
          <w:numId w:val="9"/>
        </w:numPr>
        <w:tabs>
          <w:tab w:val="left" w:pos="1155"/>
        </w:tabs>
      </w:pPr>
      <w:r>
        <w:t xml:space="preserve">When a TFS case moves to another county, a renewal is not required. </w:t>
      </w:r>
    </w:p>
    <w:p w14:paraId="7BE0C3D3" w14:textId="77777777" w:rsidR="003F73FB" w:rsidRDefault="003F73FB" w:rsidP="003F73FB">
      <w:pPr>
        <w:tabs>
          <w:tab w:val="left" w:pos="1155"/>
        </w:tabs>
        <w:rPr>
          <w:i/>
        </w:rPr>
      </w:pPr>
      <w:r w:rsidRPr="003F73FB">
        <w:rPr>
          <w:b/>
        </w:rPr>
        <w:t>Changes During an Application Period</w:t>
      </w:r>
      <w:r>
        <w:t xml:space="preserve"> </w:t>
      </w:r>
      <w:r w:rsidRPr="003F73FB">
        <w:rPr>
          <w:i/>
        </w:rPr>
        <w:t>FS 2.1.5</w:t>
      </w:r>
    </w:p>
    <w:p w14:paraId="7BE0C3D4" w14:textId="77777777" w:rsidR="00A43672" w:rsidRDefault="00B37DFB" w:rsidP="003F73FB">
      <w:pPr>
        <w:pStyle w:val="ListParagraph"/>
        <w:numPr>
          <w:ilvl w:val="0"/>
          <w:numId w:val="11"/>
        </w:numPr>
        <w:tabs>
          <w:tab w:val="left" w:pos="1155"/>
        </w:tabs>
      </w:pPr>
      <w:r w:rsidRPr="003F73FB">
        <w:t xml:space="preserve">If an applicant reports a change between the filing date and interview, act on this as part of the application.  </w:t>
      </w:r>
    </w:p>
    <w:p w14:paraId="7BE0C3D5" w14:textId="77777777" w:rsidR="00A43672" w:rsidRDefault="00B37DFB" w:rsidP="003F73FB">
      <w:pPr>
        <w:pStyle w:val="ListParagraph"/>
        <w:numPr>
          <w:ilvl w:val="0"/>
          <w:numId w:val="11"/>
        </w:numPr>
        <w:tabs>
          <w:tab w:val="left" w:pos="1155"/>
        </w:tabs>
      </w:pPr>
      <w:r w:rsidRPr="003F73FB">
        <w:t>If an ap</w:t>
      </w:r>
      <w:r w:rsidR="00AB49E0">
        <w:t>plicant reports a change after</w:t>
      </w:r>
      <w:r w:rsidRPr="003F73FB">
        <w:t xml:space="preserve"> the filing date and interview</w:t>
      </w:r>
      <w:r w:rsidR="00AB49E0">
        <w:t xml:space="preserve"> are complete</w:t>
      </w:r>
      <w:r w:rsidRPr="003F73FB">
        <w:t xml:space="preserve">, act on this as </w:t>
      </w:r>
      <w:r w:rsidR="00AB49E0">
        <w:t>a change</w:t>
      </w:r>
      <w:r w:rsidRPr="003F73FB">
        <w:t xml:space="preserve">.  </w:t>
      </w:r>
    </w:p>
    <w:p w14:paraId="7BE0C3D6" w14:textId="77777777" w:rsidR="00B37DFB" w:rsidRPr="00B37DFB" w:rsidRDefault="00B37DFB" w:rsidP="00B37DFB">
      <w:pPr>
        <w:tabs>
          <w:tab w:val="left" w:pos="1155"/>
        </w:tabs>
        <w:rPr>
          <w:b/>
        </w:rPr>
      </w:pPr>
      <w:r w:rsidRPr="00B37DFB">
        <w:rPr>
          <w:b/>
        </w:rPr>
        <w:t xml:space="preserve">ABAWD Change Reporting Requirements </w:t>
      </w:r>
      <w:r w:rsidRPr="00B37DFB">
        <w:rPr>
          <w:i/>
        </w:rPr>
        <w:t>FS 6.1.1.2</w:t>
      </w:r>
    </w:p>
    <w:p w14:paraId="4827CE4C" w14:textId="03659A39" w:rsidR="0089133E" w:rsidRDefault="00B37DFB" w:rsidP="0089133E">
      <w:pPr>
        <w:pStyle w:val="ListParagraph"/>
        <w:numPr>
          <w:ilvl w:val="0"/>
          <w:numId w:val="13"/>
        </w:numPr>
        <w:tabs>
          <w:tab w:val="left" w:pos="1155"/>
        </w:tabs>
      </w:pPr>
      <w:r w:rsidRPr="00B37DFB">
        <w:t>Must report when their hours drop below 80 hour per month by the 10</w:t>
      </w:r>
      <w:r w:rsidRPr="00B37DFB">
        <w:rPr>
          <w:vertAlign w:val="superscript"/>
        </w:rPr>
        <w:t>th</w:t>
      </w:r>
      <w:r w:rsidRPr="00B37DFB">
        <w:t xml:space="preserve"> of the month following when the change occurred.</w:t>
      </w:r>
    </w:p>
    <w:p w14:paraId="202DFCED" w14:textId="2B5F226A" w:rsidR="007E3FFB" w:rsidRPr="007E3FFB" w:rsidRDefault="007E3FFB" w:rsidP="007E3FFB">
      <w:pPr>
        <w:tabs>
          <w:tab w:val="left" w:pos="1155"/>
        </w:tabs>
        <w:rPr>
          <w:b/>
          <w:u w:val="single"/>
        </w:rPr>
      </w:pPr>
      <w:r w:rsidRPr="007E3FFB">
        <w:rPr>
          <w:b/>
          <w:u w:val="single"/>
        </w:rPr>
        <w:lastRenderedPageBreak/>
        <w:t>Running with Dates for FoodShare</w:t>
      </w:r>
    </w:p>
    <w:p w14:paraId="5C2F74BD" w14:textId="5A4E2BB5" w:rsidR="007E3FFB" w:rsidRPr="007E3FFB" w:rsidRDefault="007E3FFB" w:rsidP="007E3FFB">
      <w:pPr>
        <w:tabs>
          <w:tab w:val="left" w:pos="1155"/>
        </w:tabs>
      </w:pPr>
      <w:r w:rsidRPr="007E3FFB">
        <w:t xml:space="preserve">Because changes in FS do not impact benefits until the NEXT benefit month, there are very few cases where we may need to run with a date for FS. </w:t>
      </w:r>
    </w:p>
    <w:p w14:paraId="49C3D70A" w14:textId="34A4FE32" w:rsidR="007E3FFB" w:rsidRPr="007E3FFB" w:rsidRDefault="007E3FFB" w:rsidP="007E3FFB">
      <w:pPr>
        <w:pStyle w:val="ListParagraph"/>
        <w:numPr>
          <w:ilvl w:val="0"/>
          <w:numId w:val="15"/>
        </w:numPr>
        <w:tabs>
          <w:tab w:val="left" w:pos="1155"/>
        </w:tabs>
      </w:pPr>
      <w:r w:rsidRPr="007E3FFB">
        <w:t>To calculate an under issuance,</w:t>
      </w:r>
    </w:p>
    <w:p w14:paraId="344776CA" w14:textId="38E34256" w:rsidR="007E3FFB" w:rsidRPr="007E3FFB" w:rsidRDefault="007E3FFB" w:rsidP="007E3FFB">
      <w:pPr>
        <w:pStyle w:val="ListParagraph"/>
        <w:numPr>
          <w:ilvl w:val="0"/>
          <w:numId w:val="15"/>
        </w:numPr>
        <w:tabs>
          <w:tab w:val="left" w:pos="1155"/>
        </w:tabs>
      </w:pPr>
      <w:r w:rsidRPr="007E3FFB">
        <w:t>To calculate a supplement after adverse action due to person add or income decrease, or</w:t>
      </w:r>
    </w:p>
    <w:p w14:paraId="0174AEB2" w14:textId="21B114E4" w:rsidR="007E3FFB" w:rsidRPr="007E3FFB" w:rsidRDefault="007E3FFB" w:rsidP="007E3FFB">
      <w:pPr>
        <w:pStyle w:val="ListParagraph"/>
        <w:numPr>
          <w:ilvl w:val="0"/>
          <w:numId w:val="15"/>
        </w:numPr>
        <w:tabs>
          <w:tab w:val="left" w:pos="1155"/>
        </w:tabs>
      </w:pPr>
      <w:r w:rsidRPr="007E3FFB">
        <w:t>When determining overpayments and using simulation.</w:t>
      </w:r>
    </w:p>
    <w:p w14:paraId="6916AF9D" w14:textId="502570A3" w:rsidR="007E3FFB" w:rsidRPr="007E3FFB" w:rsidRDefault="007E3FFB" w:rsidP="007E3FFB">
      <w:pPr>
        <w:tabs>
          <w:tab w:val="left" w:pos="1155"/>
        </w:tabs>
        <w:rPr>
          <w:rFonts w:ascii="Calibri" w:hAnsi="Calibri"/>
          <w:b/>
        </w:rPr>
      </w:pPr>
      <w:r w:rsidRPr="007E3FFB">
        <w:rPr>
          <w:rFonts w:ascii="Calibri" w:hAnsi="Calibri"/>
          <w:b/>
        </w:rPr>
        <w:t>Reminders</w:t>
      </w:r>
    </w:p>
    <w:p w14:paraId="6F942735" w14:textId="23916ABB" w:rsidR="007E3FFB" w:rsidRPr="0010511E" w:rsidRDefault="007E3FFB" w:rsidP="007E3FFB">
      <w:pPr>
        <w:pStyle w:val="ListParagraph"/>
        <w:numPr>
          <w:ilvl w:val="0"/>
          <w:numId w:val="16"/>
        </w:numPr>
        <w:tabs>
          <w:tab w:val="left" w:pos="1155"/>
        </w:tabs>
        <w:rPr>
          <w:rFonts w:ascii="Calibri" w:hAnsi="Calibri"/>
        </w:rPr>
      </w:pPr>
      <w:r w:rsidRPr="007E3FFB">
        <w:rPr>
          <w:rFonts w:ascii="Calibri" w:hAnsi="Calibri"/>
        </w:rPr>
        <w:t>When running with dates for FS a notice will issue to the client but CWW will NOT issue the adjusted FS. If a supplement is needed, the worker must enter this either manually or through the “</w:t>
      </w:r>
      <w:r w:rsidRPr="007E3FFB">
        <w:rPr>
          <w:rFonts w:ascii="Calibri" w:hAnsi="Calibri" w:cs="Arial"/>
        </w:rPr>
        <w:t xml:space="preserve">Determine Potential FoodShare Supplement” option in CWW. </w:t>
      </w:r>
    </w:p>
    <w:p w14:paraId="5E251336" w14:textId="00E95E0A" w:rsidR="0010511E" w:rsidRPr="00D67BB8" w:rsidRDefault="0010511E" w:rsidP="007E3FFB">
      <w:pPr>
        <w:pStyle w:val="ListParagraph"/>
        <w:numPr>
          <w:ilvl w:val="0"/>
          <w:numId w:val="16"/>
        </w:numPr>
        <w:tabs>
          <w:tab w:val="left" w:pos="1155"/>
        </w:tabs>
        <w:rPr>
          <w:rFonts w:ascii="Calibri" w:hAnsi="Calibri"/>
        </w:rPr>
      </w:pPr>
      <w:r w:rsidRPr="00D67BB8">
        <w:rPr>
          <w:rFonts w:ascii="Calibri" w:hAnsi="Calibri" w:cs="Arial"/>
        </w:rPr>
        <w:t>When issuing a supplement, case comments are required to include the supplement amount and how the supplement was determined. Example: FS supplement for April</w:t>
      </w:r>
      <w:r w:rsidR="00D67BB8" w:rsidRPr="00D67BB8">
        <w:rPr>
          <w:rFonts w:ascii="Calibri" w:hAnsi="Calibri" w:cs="Arial"/>
        </w:rPr>
        <w:t xml:space="preserve"> 2021</w:t>
      </w:r>
      <w:r w:rsidRPr="00D67BB8">
        <w:rPr>
          <w:rFonts w:ascii="Calibri" w:hAnsi="Calibri" w:cs="Arial"/>
        </w:rPr>
        <w:t xml:space="preserve"> requested for $140 due to baby add. Food unit was previously due to receive $200 in FS for April and is now eligible for $340 in FS for April following the addition of the newborn. </w:t>
      </w:r>
    </w:p>
    <w:p w14:paraId="597A99AA" w14:textId="02782964" w:rsidR="007E3FFB" w:rsidRPr="007E3FFB" w:rsidRDefault="007E3FFB" w:rsidP="007E3FFB">
      <w:pPr>
        <w:pStyle w:val="ListParagraph"/>
        <w:numPr>
          <w:ilvl w:val="0"/>
          <w:numId w:val="16"/>
        </w:numPr>
        <w:tabs>
          <w:tab w:val="left" w:pos="1155"/>
        </w:tabs>
        <w:rPr>
          <w:rFonts w:ascii="Calibri" w:hAnsi="Calibri"/>
        </w:rPr>
      </w:pPr>
      <w:r>
        <w:rPr>
          <w:rFonts w:ascii="Calibri" w:hAnsi="Calibri" w:cs="Arial"/>
        </w:rPr>
        <w:t xml:space="preserve">If FS is accidently confirmed at an increased amount and a notice is issued to the client, the client can request that the benefits on the notice be issued to them which would then result in an overpayment to recoup the incorrect benefits. If you accidently confirm FS when running with dates you MUST suppress the notice the same day as confirmation. </w:t>
      </w:r>
    </w:p>
    <w:sectPr w:rsidR="007E3FFB" w:rsidRPr="007E3FFB" w:rsidSect="00DC54F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0C3DC" w14:textId="77777777" w:rsidR="00B37DFB" w:rsidRDefault="00B37DFB" w:rsidP="00B37DFB">
      <w:pPr>
        <w:spacing w:after="0" w:line="240" w:lineRule="auto"/>
      </w:pPr>
      <w:r>
        <w:separator/>
      </w:r>
    </w:p>
  </w:endnote>
  <w:endnote w:type="continuationSeparator" w:id="0">
    <w:p w14:paraId="7BE0C3DD" w14:textId="77777777" w:rsidR="00B37DFB" w:rsidRDefault="00B37DFB" w:rsidP="00B3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C3DE" w14:textId="4986971E" w:rsidR="00B37DFB" w:rsidRDefault="0089133E">
    <w:pPr>
      <w:pStyle w:val="Footer"/>
    </w:pPr>
    <w:r>
      <w:t>03/08/2019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0C3DA" w14:textId="77777777" w:rsidR="00B37DFB" w:rsidRDefault="00B37DFB" w:rsidP="00B37DFB">
      <w:pPr>
        <w:spacing w:after="0" w:line="240" w:lineRule="auto"/>
      </w:pPr>
      <w:r>
        <w:separator/>
      </w:r>
    </w:p>
  </w:footnote>
  <w:footnote w:type="continuationSeparator" w:id="0">
    <w:p w14:paraId="7BE0C3DB" w14:textId="77777777" w:rsidR="00B37DFB" w:rsidRDefault="00B37DFB" w:rsidP="00B37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1BC"/>
    <w:multiLevelType w:val="hybridMultilevel"/>
    <w:tmpl w:val="E2F4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C1D88"/>
    <w:multiLevelType w:val="multilevel"/>
    <w:tmpl w:val="3E3A8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80969"/>
    <w:multiLevelType w:val="hybridMultilevel"/>
    <w:tmpl w:val="A5AEA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94F40"/>
    <w:multiLevelType w:val="hybridMultilevel"/>
    <w:tmpl w:val="99F8420C"/>
    <w:lvl w:ilvl="0" w:tplc="B52A9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A457C"/>
    <w:multiLevelType w:val="hybridMultilevel"/>
    <w:tmpl w:val="E5300470"/>
    <w:lvl w:ilvl="0" w:tplc="C9C2D22E">
      <w:start w:val="1"/>
      <w:numFmt w:val="decimal"/>
      <w:lvlText w:val="%1."/>
      <w:lvlJc w:val="left"/>
      <w:pPr>
        <w:ind w:left="1080" w:hanging="360"/>
      </w:pPr>
      <w:rPr>
        <w:rFonts w:eastAsiaTheme="minorHAnsi"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865E1"/>
    <w:multiLevelType w:val="hybridMultilevel"/>
    <w:tmpl w:val="78A28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E3D59"/>
    <w:multiLevelType w:val="hybridMultilevel"/>
    <w:tmpl w:val="EA705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F341A"/>
    <w:multiLevelType w:val="hybridMultilevel"/>
    <w:tmpl w:val="EA124092"/>
    <w:lvl w:ilvl="0" w:tplc="A8E289A2">
      <w:start w:val="1"/>
      <w:numFmt w:val="bullet"/>
      <w:lvlText w:val=""/>
      <w:lvlJc w:val="left"/>
      <w:pPr>
        <w:tabs>
          <w:tab w:val="num" w:pos="720"/>
        </w:tabs>
        <w:ind w:left="720" w:hanging="360"/>
      </w:pPr>
      <w:rPr>
        <w:rFonts w:ascii="Wingdings" w:hAnsi="Wingdings" w:hint="default"/>
      </w:rPr>
    </w:lvl>
    <w:lvl w:ilvl="1" w:tplc="936E8396">
      <w:start w:val="1"/>
      <w:numFmt w:val="bullet"/>
      <w:lvlText w:val=""/>
      <w:lvlJc w:val="left"/>
      <w:pPr>
        <w:tabs>
          <w:tab w:val="num" w:pos="1440"/>
        </w:tabs>
        <w:ind w:left="1440" w:hanging="360"/>
      </w:pPr>
      <w:rPr>
        <w:rFonts w:ascii="Wingdings" w:hAnsi="Wingdings" w:hint="default"/>
      </w:rPr>
    </w:lvl>
    <w:lvl w:ilvl="2" w:tplc="72A81F72" w:tentative="1">
      <w:start w:val="1"/>
      <w:numFmt w:val="bullet"/>
      <w:lvlText w:val=""/>
      <w:lvlJc w:val="left"/>
      <w:pPr>
        <w:tabs>
          <w:tab w:val="num" w:pos="2160"/>
        </w:tabs>
        <w:ind w:left="2160" w:hanging="360"/>
      </w:pPr>
      <w:rPr>
        <w:rFonts w:ascii="Wingdings" w:hAnsi="Wingdings" w:hint="default"/>
      </w:rPr>
    </w:lvl>
    <w:lvl w:ilvl="3" w:tplc="BA9EF4C4" w:tentative="1">
      <w:start w:val="1"/>
      <w:numFmt w:val="bullet"/>
      <w:lvlText w:val=""/>
      <w:lvlJc w:val="left"/>
      <w:pPr>
        <w:tabs>
          <w:tab w:val="num" w:pos="2880"/>
        </w:tabs>
        <w:ind w:left="2880" w:hanging="360"/>
      </w:pPr>
      <w:rPr>
        <w:rFonts w:ascii="Wingdings" w:hAnsi="Wingdings" w:hint="default"/>
      </w:rPr>
    </w:lvl>
    <w:lvl w:ilvl="4" w:tplc="C00AC1EC" w:tentative="1">
      <w:start w:val="1"/>
      <w:numFmt w:val="bullet"/>
      <w:lvlText w:val=""/>
      <w:lvlJc w:val="left"/>
      <w:pPr>
        <w:tabs>
          <w:tab w:val="num" w:pos="3600"/>
        </w:tabs>
        <w:ind w:left="3600" w:hanging="360"/>
      </w:pPr>
      <w:rPr>
        <w:rFonts w:ascii="Wingdings" w:hAnsi="Wingdings" w:hint="default"/>
      </w:rPr>
    </w:lvl>
    <w:lvl w:ilvl="5" w:tplc="1B029096" w:tentative="1">
      <w:start w:val="1"/>
      <w:numFmt w:val="bullet"/>
      <w:lvlText w:val=""/>
      <w:lvlJc w:val="left"/>
      <w:pPr>
        <w:tabs>
          <w:tab w:val="num" w:pos="4320"/>
        </w:tabs>
        <w:ind w:left="4320" w:hanging="360"/>
      </w:pPr>
      <w:rPr>
        <w:rFonts w:ascii="Wingdings" w:hAnsi="Wingdings" w:hint="default"/>
      </w:rPr>
    </w:lvl>
    <w:lvl w:ilvl="6" w:tplc="511E78C4" w:tentative="1">
      <w:start w:val="1"/>
      <w:numFmt w:val="bullet"/>
      <w:lvlText w:val=""/>
      <w:lvlJc w:val="left"/>
      <w:pPr>
        <w:tabs>
          <w:tab w:val="num" w:pos="5040"/>
        </w:tabs>
        <w:ind w:left="5040" w:hanging="360"/>
      </w:pPr>
      <w:rPr>
        <w:rFonts w:ascii="Wingdings" w:hAnsi="Wingdings" w:hint="default"/>
      </w:rPr>
    </w:lvl>
    <w:lvl w:ilvl="7" w:tplc="632E37EE" w:tentative="1">
      <w:start w:val="1"/>
      <w:numFmt w:val="bullet"/>
      <w:lvlText w:val=""/>
      <w:lvlJc w:val="left"/>
      <w:pPr>
        <w:tabs>
          <w:tab w:val="num" w:pos="5760"/>
        </w:tabs>
        <w:ind w:left="5760" w:hanging="360"/>
      </w:pPr>
      <w:rPr>
        <w:rFonts w:ascii="Wingdings" w:hAnsi="Wingdings" w:hint="default"/>
      </w:rPr>
    </w:lvl>
    <w:lvl w:ilvl="8" w:tplc="21E243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62747"/>
    <w:multiLevelType w:val="hybridMultilevel"/>
    <w:tmpl w:val="49187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9277E"/>
    <w:multiLevelType w:val="hybridMultilevel"/>
    <w:tmpl w:val="8D487516"/>
    <w:lvl w:ilvl="0" w:tplc="5A8AD754">
      <w:start w:val="1"/>
      <w:numFmt w:val="bullet"/>
      <w:lvlText w:val=""/>
      <w:lvlJc w:val="left"/>
      <w:pPr>
        <w:tabs>
          <w:tab w:val="num" w:pos="720"/>
        </w:tabs>
        <w:ind w:left="720" w:hanging="360"/>
      </w:pPr>
      <w:rPr>
        <w:rFonts w:ascii="Wingdings" w:hAnsi="Wingdings" w:hint="default"/>
      </w:rPr>
    </w:lvl>
    <w:lvl w:ilvl="1" w:tplc="3AB2119C">
      <w:start w:val="1"/>
      <w:numFmt w:val="bullet"/>
      <w:lvlText w:val=""/>
      <w:lvlJc w:val="left"/>
      <w:pPr>
        <w:tabs>
          <w:tab w:val="num" w:pos="1440"/>
        </w:tabs>
        <w:ind w:left="1440" w:hanging="360"/>
      </w:pPr>
      <w:rPr>
        <w:rFonts w:ascii="Wingdings" w:hAnsi="Wingdings" w:hint="default"/>
      </w:rPr>
    </w:lvl>
    <w:lvl w:ilvl="2" w:tplc="E898C4A6" w:tentative="1">
      <w:start w:val="1"/>
      <w:numFmt w:val="bullet"/>
      <w:lvlText w:val=""/>
      <w:lvlJc w:val="left"/>
      <w:pPr>
        <w:tabs>
          <w:tab w:val="num" w:pos="2160"/>
        </w:tabs>
        <w:ind w:left="2160" w:hanging="360"/>
      </w:pPr>
      <w:rPr>
        <w:rFonts w:ascii="Wingdings" w:hAnsi="Wingdings" w:hint="default"/>
      </w:rPr>
    </w:lvl>
    <w:lvl w:ilvl="3" w:tplc="97B438B8" w:tentative="1">
      <w:start w:val="1"/>
      <w:numFmt w:val="bullet"/>
      <w:lvlText w:val=""/>
      <w:lvlJc w:val="left"/>
      <w:pPr>
        <w:tabs>
          <w:tab w:val="num" w:pos="2880"/>
        </w:tabs>
        <w:ind w:left="2880" w:hanging="360"/>
      </w:pPr>
      <w:rPr>
        <w:rFonts w:ascii="Wingdings" w:hAnsi="Wingdings" w:hint="default"/>
      </w:rPr>
    </w:lvl>
    <w:lvl w:ilvl="4" w:tplc="736ED2A8" w:tentative="1">
      <w:start w:val="1"/>
      <w:numFmt w:val="bullet"/>
      <w:lvlText w:val=""/>
      <w:lvlJc w:val="left"/>
      <w:pPr>
        <w:tabs>
          <w:tab w:val="num" w:pos="3600"/>
        </w:tabs>
        <w:ind w:left="3600" w:hanging="360"/>
      </w:pPr>
      <w:rPr>
        <w:rFonts w:ascii="Wingdings" w:hAnsi="Wingdings" w:hint="default"/>
      </w:rPr>
    </w:lvl>
    <w:lvl w:ilvl="5" w:tplc="365CD230" w:tentative="1">
      <w:start w:val="1"/>
      <w:numFmt w:val="bullet"/>
      <w:lvlText w:val=""/>
      <w:lvlJc w:val="left"/>
      <w:pPr>
        <w:tabs>
          <w:tab w:val="num" w:pos="4320"/>
        </w:tabs>
        <w:ind w:left="4320" w:hanging="360"/>
      </w:pPr>
      <w:rPr>
        <w:rFonts w:ascii="Wingdings" w:hAnsi="Wingdings" w:hint="default"/>
      </w:rPr>
    </w:lvl>
    <w:lvl w:ilvl="6" w:tplc="16D447BC" w:tentative="1">
      <w:start w:val="1"/>
      <w:numFmt w:val="bullet"/>
      <w:lvlText w:val=""/>
      <w:lvlJc w:val="left"/>
      <w:pPr>
        <w:tabs>
          <w:tab w:val="num" w:pos="5040"/>
        </w:tabs>
        <w:ind w:left="5040" w:hanging="360"/>
      </w:pPr>
      <w:rPr>
        <w:rFonts w:ascii="Wingdings" w:hAnsi="Wingdings" w:hint="default"/>
      </w:rPr>
    </w:lvl>
    <w:lvl w:ilvl="7" w:tplc="7F1861C2" w:tentative="1">
      <w:start w:val="1"/>
      <w:numFmt w:val="bullet"/>
      <w:lvlText w:val=""/>
      <w:lvlJc w:val="left"/>
      <w:pPr>
        <w:tabs>
          <w:tab w:val="num" w:pos="5760"/>
        </w:tabs>
        <w:ind w:left="5760" w:hanging="360"/>
      </w:pPr>
      <w:rPr>
        <w:rFonts w:ascii="Wingdings" w:hAnsi="Wingdings" w:hint="default"/>
      </w:rPr>
    </w:lvl>
    <w:lvl w:ilvl="8" w:tplc="C7AEEF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B0DBD"/>
    <w:multiLevelType w:val="hybridMultilevel"/>
    <w:tmpl w:val="8ED86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C453B"/>
    <w:multiLevelType w:val="hybridMultilevel"/>
    <w:tmpl w:val="3CEEF1C4"/>
    <w:lvl w:ilvl="0" w:tplc="8A5C5D66">
      <w:start w:val="1"/>
      <w:numFmt w:val="bullet"/>
      <w:lvlText w:val=""/>
      <w:lvlJc w:val="left"/>
      <w:pPr>
        <w:tabs>
          <w:tab w:val="num" w:pos="720"/>
        </w:tabs>
        <w:ind w:left="720" w:hanging="360"/>
      </w:pPr>
      <w:rPr>
        <w:rFonts w:ascii="Wingdings" w:hAnsi="Wingdings" w:hint="default"/>
      </w:rPr>
    </w:lvl>
    <w:lvl w:ilvl="1" w:tplc="A6DCEB96">
      <w:start w:val="1"/>
      <w:numFmt w:val="bullet"/>
      <w:lvlText w:val=""/>
      <w:lvlJc w:val="left"/>
      <w:pPr>
        <w:tabs>
          <w:tab w:val="num" w:pos="1440"/>
        </w:tabs>
        <w:ind w:left="1440" w:hanging="360"/>
      </w:pPr>
      <w:rPr>
        <w:rFonts w:ascii="Wingdings" w:hAnsi="Wingdings" w:hint="default"/>
      </w:rPr>
    </w:lvl>
    <w:lvl w:ilvl="2" w:tplc="6CA456BC" w:tentative="1">
      <w:start w:val="1"/>
      <w:numFmt w:val="bullet"/>
      <w:lvlText w:val=""/>
      <w:lvlJc w:val="left"/>
      <w:pPr>
        <w:tabs>
          <w:tab w:val="num" w:pos="2160"/>
        </w:tabs>
        <w:ind w:left="2160" w:hanging="360"/>
      </w:pPr>
      <w:rPr>
        <w:rFonts w:ascii="Wingdings" w:hAnsi="Wingdings" w:hint="default"/>
      </w:rPr>
    </w:lvl>
    <w:lvl w:ilvl="3" w:tplc="CB60A070" w:tentative="1">
      <w:start w:val="1"/>
      <w:numFmt w:val="bullet"/>
      <w:lvlText w:val=""/>
      <w:lvlJc w:val="left"/>
      <w:pPr>
        <w:tabs>
          <w:tab w:val="num" w:pos="2880"/>
        </w:tabs>
        <w:ind w:left="2880" w:hanging="360"/>
      </w:pPr>
      <w:rPr>
        <w:rFonts w:ascii="Wingdings" w:hAnsi="Wingdings" w:hint="default"/>
      </w:rPr>
    </w:lvl>
    <w:lvl w:ilvl="4" w:tplc="8AC4F6C4" w:tentative="1">
      <w:start w:val="1"/>
      <w:numFmt w:val="bullet"/>
      <w:lvlText w:val=""/>
      <w:lvlJc w:val="left"/>
      <w:pPr>
        <w:tabs>
          <w:tab w:val="num" w:pos="3600"/>
        </w:tabs>
        <w:ind w:left="3600" w:hanging="360"/>
      </w:pPr>
      <w:rPr>
        <w:rFonts w:ascii="Wingdings" w:hAnsi="Wingdings" w:hint="default"/>
      </w:rPr>
    </w:lvl>
    <w:lvl w:ilvl="5" w:tplc="4614C904" w:tentative="1">
      <w:start w:val="1"/>
      <w:numFmt w:val="bullet"/>
      <w:lvlText w:val=""/>
      <w:lvlJc w:val="left"/>
      <w:pPr>
        <w:tabs>
          <w:tab w:val="num" w:pos="4320"/>
        </w:tabs>
        <w:ind w:left="4320" w:hanging="360"/>
      </w:pPr>
      <w:rPr>
        <w:rFonts w:ascii="Wingdings" w:hAnsi="Wingdings" w:hint="default"/>
      </w:rPr>
    </w:lvl>
    <w:lvl w:ilvl="6" w:tplc="456829CE" w:tentative="1">
      <w:start w:val="1"/>
      <w:numFmt w:val="bullet"/>
      <w:lvlText w:val=""/>
      <w:lvlJc w:val="left"/>
      <w:pPr>
        <w:tabs>
          <w:tab w:val="num" w:pos="5040"/>
        </w:tabs>
        <w:ind w:left="5040" w:hanging="360"/>
      </w:pPr>
      <w:rPr>
        <w:rFonts w:ascii="Wingdings" w:hAnsi="Wingdings" w:hint="default"/>
      </w:rPr>
    </w:lvl>
    <w:lvl w:ilvl="7" w:tplc="470ACBCC" w:tentative="1">
      <w:start w:val="1"/>
      <w:numFmt w:val="bullet"/>
      <w:lvlText w:val=""/>
      <w:lvlJc w:val="left"/>
      <w:pPr>
        <w:tabs>
          <w:tab w:val="num" w:pos="5760"/>
        </w:tabs>
        <w:ind w:left="5760" w:hanging="360"/>
      </w:pPr>
      <w:rPr>
        <w:rFonts w:ascii="Wingdings" w:hAnsi="Wingdings" w:hint="default"/>
      </w:rPr>
    </w:lvl>
    <w:lvl w:ilvl="8" w:tplc="D032BF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152DD"/>
    <w:multiLevelType w:val="hybridMultilevel"/>
    <w:tmpl w:val="161EF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72652"/>
    <w:multiLevelType w:val="hybridMultilevel"/>
    <w:tmpl w:val="3F5C1BE8"/>
    <w:lvl w:ilvl="0" w:tplc="04090005">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4" w15:restartNumberingAfterBreak="0">
    <w:nsid w:val="73CE7165"/>
    <w:multiLevelType w:val="hybridMultilevel"/>
    <w:tmpl w:val="F8BE5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2730E"/>
    <w:multiLevelType w:val="hybridMultilevel"/>
    <w:tmpl w:val="3CFC1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2"/>
  </w:num>
  <w:num w:numId="6">
    <w:abstractNumId w:val="14"/>
  </w:num>
  <w:num w:numId="7">
    <w:abstractNumId w:val="1"/>
  </w:num>
  <w:num w:numId="8">
    <w:abstractNumId w:val="4"/>
  </w:num>
  <w:num w:numId="9">
    <w:abstractNumId w:val="8"/>
  </w:num>
  <w:num w:numId="10">
    <w:abstractNumId w:val="7"/>
  </w:num>
  <w:num w:numId="11">
    <w:abstractNumId w:val="10"/>
  </w:num>
  <w:num w:numId="12">
    <w:abstractNumId w:val="11"/>
  </w:num>
  <w:num w:numId="13">
    <w:abstractNumId w:val="15"/>
  </w:num>
  <w:num w:numId="14">
    <w:abstractNumId w:val="9"/>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FF"/>
    <w:rsid w:val="000601DF"/>
    <w:rsid w:val="0010511E"/>
    <w:rsid w:val="0023561D"/>
    <w:rsid w:val="003F73FB"/>
    <w:rsid w:val="00410310"/>
    <w:rsid w:val="005E48E2"/>
    <w:rsid w:val="007233ED"/>
    <w:rsid w:val="007E3FFB"/>
    <w:rsid w:val="0089133E"/>
    <w:rsid w:val="00A43672"/>
    <w:rsid w:val="00AB49E0"/>
    <w:rsid w:val="00AD7E85"/>
    <w:rsid w:val="00B37DFB"/>
    <w:rsid w:val="00CF2B30"/>
    <w:rsid w:val="00D27AE3"/>
    <w:rsid w:val="00D67BB8"/>
    <w:rsid w:val="00DC54FF"/>
    <w:rsid w:val="00E27607"/>
    <w:rsid w:val="00F6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C39A"/>
  <w15:chartTrackingRefBased/>
  <w15:docId w15:val="{B019D6C3-43FA-46E5-93B3-1354A958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FF"/>
    <w:pPr>
      <w:ind w:left="720"/>
      <w:contextualSpacing/>
    </w:pPr>
  </w:style>
  <w:style w:type="paragraph" w:styleId="BalloonText">
    <w:name w:val="Balloon Text"/>
    <w:basedOn w:val="Normal"/>
    <w:link w:val="BalloonTextChar"/>
    <w:uiPriority w:val="99"/>
    <w:semiHidden/>
    <w:unhideWhenUsed/>
    <w:rsid w:val="00235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61D"/>
    <w:rPr>
      <w:rFonts w:ascii="Segoe UI" w:hAnsi="Segoe UI" w:cs="Segoe UI"/>
      <w:sz w:val="18"/>
      <w:szCs w:val="18"/>
    </w:rPr>
  </w:style>
  <w:style w:type="character" w:styleId="Hyperlink">
    <w:name w:val="Hyperlink"/>
    <w:basedOn w:val="DefaultParagraphFont"/>
    <w:uiPriority w:val="99"/>
    <w:semiHidden/>
    <w:unhideWhenUsed/>
    <w:rsid w:val="00410310"/>
    <w:rPr>
      <w:color w:val="0000FF"/>
      <w:u w:val="single"/>
    </w:rPr>
  </w:style>
  <w:style w:type="character" w:customStyle="1" w:styleId="glosstext">
    <w:name w:val="glosstext"/>
    <w:basedOn w:val="DefaultParagraphFont"/>
    <w:rsid w:val="00410310"/>
    <w:rPr>
      <w:b w:val="0"/>
      <w:bCs w:val="0"/>
      <w:i/>
      <w:iCs/>
      <w:color w:val="0000FF"/>
    </w:rPr>
  </w:style>
  <w:style w:type="paragraph" w:styleId="Header">
    <w:name w:val="header"/>
    <w:basedOn w:val="Normal"/>
    <w:link w:val="HeaderChar"/>
    <w:uiPriority w:val="99"/>
    <w:unhideWhenUsed/>
    <w:rsid w:val="00B37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DFB"/>
  </w:style>
  <w:style w:type="paragraph" w:styleId="Footer">
    <w:name w:val="footer"/>
    <w:basedOn w:val="Normal"/>
    <w:link w:val="FooterChar"/>
    <w:uiPriority w:val="99"/>
    <w:unhideWhenUsed/>
    <w:rsid w:val="00B3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5794">
      <w:bodyDiv w:val="1"/>
      <w:marLeft w:val="0"/>
      <w:marRight w:val="0"/>
      <w:marTop w:val="0"/>
      <w:marBottom w:val="0"/>
      <w:divBdr>
        <w:top w:val="none" w:sz="0" w:space="0" w:color="auto"/>
        <w:left w:val="none" w:sz="0" w:space="0" w:color="auto"/>
        <w:bottom w:val="none" w:sz="0" w:space="0" w:color="auto"/>
        <w:right w:val="none" w:sz="0" w:space="0" w:color="auto"/>
      </w:divBdr>
      <w:divsChild>
        <w:div w:id="1962300582">
          <w:marLeft w:val="720"/>
          <w:marRight w:val="0"/>
          <w:marTop w:val="80"/>
          <w:marBottom w:val="40"/>
          <w:divBdr>
            <w:top w:val="none" w:sz="0" w:space="0" w:color="auto"/>
            <w:left w:val="none" w:sz="0" w:space="0" w:color="auto"/>
            <w:bottom w:val="none" w:sz="0" w:space="0" w:color="auto"/>
            <w:right w:val="none" w:sz="0" w:space="0" w:color="auto"/>
          </w:divBdr>
        </w:div>
      </w:divsChild>
    </w:div>
    <w:div w:id="58867477">
      <w:bodyDiv w:val="1"/>
      <w:marLeft w:val="0"/>
      <w:marRight w:val="0"/>
      <w:marTop w:val="0"/>
      <w:marBottom w:val="0"/>
      <w:divBdr>
        <w:top w:val="none" w:sz="0" w:space="0" w:color="auto"/>
        <w:left w:val="none" w:sz="0" w:space="0" w:color="auto"/>
        <w:bottom w:val="none" w:sz="0" w:space="0" w:color="auto"/>
        <w:right w:val="none" w:sz="0" w:space="0" w:color="auto"/>
      </w:divBdr>
      <w:divsChild>
        <w:div w:id="221908719">
          <w:marLeft w:val="720"/>
          <w:marRight w:val="0"/>
          <w:marTop w:val="80"/>
          <w:marBottom w:val="40"/>
          <w:divBdr>
            <w:top w:val="none" w:sz="0" w:space="0" w:color="auto"/>
            <w:left w:val="none" w:sz="0" w:space="0" w:color="auto"/>
            <w:bottom w:val="none" w:sz="0" w:space="0" w:color="auto"/>
            <w:right w:val="none" w:sz="0" w:space="0" w:color="auto"/>
          </w:divBdr>
        </w:div>
      </w:divsChild>
    </w:div>
    <w:div w:id="584731171">
      <w:bodyDiv w:val="1"/>
      <w:marLeft w:val="0"/>
      <w:marRight w:val="0"/>
      <w:marTop w:val="0"/>
      <w:marBottom w:val="0"/>
      <w:divBdr>
        <w:top w:val="none" w:sz="0" w:space="0" w:color="auto"/>
        <w:left w:val="none" w:sz="0" w:space="0" w:color="auto"/>
        <w:bottom w:val="none" w:sz="0" w:space="0" w:color="auto"/>
        <w:right w:val="none" w:sz="0" w:space="0" w:color="auto"/>
      </w:divBdr>
    </w:div>
    <w:div w:id="1429354015">
      <w:bodyDiv w:val="1"/>
      <w:marLeft w:val="0"/>
      <w:marRight w:val="0"/>
      <w:marTop w:val="0"/>
      <w:marBottom w:val="0"/>
      <w:divBdr>
        <w:top w:val="none" w:sz="0" w:space="0" w:color="auto"/>
        <w:left w:val="none" w:sz="0" w:space="0" w:color="auto"/>
        <w:bottom w:val="none" w:sz="0" w:space="0" w:color="auto"/>
        <w:right w:val="none" w:sz="0" w:space="0" w:color="auto"/>
      </w:divBdr>
      <w:divsChild>
        <w:div w:id="1919436867">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Changes and EBT Screens</Value>
    </Training_x0020_Topic>
    <Document_x0020_Type xmlns="2f254586-b35f-4441-a040-f54e6e92090e">
      <Value>New Worker Classroom Training</Value>
      <Value>Desk Aid</Value>
    </Document_x0020_Type>
  </documentManagement>
</p:properties>
</file>

<file path=customXml/itemProps1.xml><?xml version="1.0" encoding="utf-8"?>
<ds:datastoreItem xmlns:ds="http://schemas.openxmlformats.org/officeDocument/2006/customXml" ds:itemID="{77E68048-8A55-412C-A74D-5ADE2AEF83DB}">
  <ds:schemaRefs>
    <ds:schemaRef ds:uri="http://schemas.microsoft.com/sharepoint/v3/contenttype/forms"/>
  </ds:schemaRefs>
</ds:datastoreItem>
</file>

<file path=customXml/itemProps2.xml><?xml version="1.0" encoding="utf-8"?>
<ds:datastoreItem xmlns:ds="http://schemas.openxmlformats.org/officeDocument/2006/customXml" ds:itemID="{2F0AB186-769D-4842-911C-F17C9C795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827F3-C98B-415A-95D3-F394D9730D79}">
  <ds:schemaRefs>
    <ds:schemaRef ds:uri="http://purl.org/dc/elements/1.1/"/>
    <ds:schemaRef ds:uri="2f254586-b35f-4441-a040-f54e6e92090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13</cp:revision>
  <cp:lastPrinted>2017-11-29T21:27:00Z</cp:lastPrinted>
  <dcterms:created xsi:type="dcterms:W3CDTF">2017-11-29T22:05:00Z</dcterms:created>
  <dcterms:modified xsi:type="dcterms:W3CDTF">2021-04-29T19:01:00Z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