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B4CF" w14:textId="77777777" w:rsidR="00AD7E85" w:rsidRDefault="00DC54FF" w:rsidP="00DC54FF">
      <w:pPr>
        <w:jc w:val="center"/>
        <w:rPr>
          <w:b/>
          <w:u w:val="single"/>
        </w:rPr>
      </w:pPr>
      <w:r>
        <w:rPr>
          <w:b/>
          <w:u w:val="single"/>
        </w:rPr>
        <w:t xml:space="preserve">BadgerCare </w:t>
      </w:r>
      <w:r w:rsidR="00F65826">
        <w:rPr>
          <w:b/>
          <w:u w:val="single"/>
        </w:rPr>
        <w:t xml:space="preserve">and FPOS </w:t>
      </w:r>
      <w:r>
        <w:rPr>
          <w:b/>
          <w:u w:val="single"/>
        </w:rPr>
        <w:t>Changes</w:t>
      </w:r>
    </w:p>
    <w:p w14:paraId="03EBB4D0" w14:textId="77777777" w:rsidR="00CF2B30" w:rsidRPr="00CF2B30" w:rsidRDefault="00CF2B30" w:rsidP="00CF2B30">
      <w:pPr>
        <w:rPr>
          <w:i/>
        </w:rPr>
      </w:pPr>
      <w:r>
        <w:rPr>
          <w:b/>
        </w:rPr>
        <w:t xml:space="preserve">Change Reporting Methods </w:t>
      </w:r>
      <w:r>
        <w:rPr>
          <w:i/>
        </w:rPr>
        <w:t>BCP 27.6</w:t>
      </w:r>
    </w:p>
    <w:p w14:paraId="03EBB4D1" w14:textId="77777777" w:rsidR="00CF2B30" w:rsidRDefault="00CF2B30" w:rsidP="00CF2B30">
      <w:pPr>
        <w:pStyle w:val="ListParagraph"/>
        <w:numPr>
          <w:ilvl w:val="0"/>
          <w:numId w:val="5"/>
        </w:numPr>
      </w:pPr>
      <w:r>
        <w:t>Members can report changes using one of the following:</w:t>
      </w:r>
    </w:p>
    <w:p w14:paraId="03EBB4D2" w14:textId="77777777" w:rsidR="00CF2B30" w:rsidRDefault="00CF2B30" w:rsidP="00CF2B30">
      <w:pPr>
        <w:pStyle w:val="ListParagraph"/>
        <w:numPr>
          <w:ilvl w:val="1"/>
          <w:numId w:val="5"/>
        </w:numPr>
      </w:pPr>
      <w:r>
        <w:t xml:space="preserve">ACCESS </w:t>
      </w:r>
    </w:p>
    <w:p w14:paraId="03EBB4D3" w14:textId="77777777" w:rsidR="00CF2B30" w:rsidRDefault="007233ED" w:rsidP="00CF2B30">
      <w:pPr>
        <w:pStyle w:val="ListParagraph"/>
        <w:numPr>
          <w:ilvl w:val="1"/>
          <w:numId w:val="5"/>
        </w:numPr>
      </w:pPr>
      <w:r>
        <w:t>Mail or Fax the change (handwritten note or form F-10183)</w:t>
      </w:r>
    </w:p>
    <w:p w14:paraId="03EBB4D4" w14:textId="77777777" w:rsidR="007233ED" w:rsidRDefault="007233ED" w:rsidP="00CF2B30">
      <w:pPr>
        <w:pStyle w:val="ListParagraph"/>
        <w:numPr>
          <w:ilvl w:val="1"/>
          <w:numId w:val="5"/>
        </w:numPr>
      </w:pPr>
      <w:r>
        <w:t>Call their agency (SCC)</w:t>
      </w:r>
    </w:p>
    <w:p w14:paraId="03EBB4D5" w14:textId="77777777" w:rsidR="007233ED" w:rsidRPr="00CF2B30" w:rsidRDefault="007233ED" w:rsidP="00CF2B30">
      <w:pPr>
        <w:pStyle w:val="ListParagraph"/>
        <w:numPr>
          <w:ilvl w:val="1"/>
          <w:numId w:val="5"/>
        </w:numPr>
      </w:pPr>
      <w:r>
        <w:t>In person at their local agency</w:t>
      </w:r>
    </w:p>
    <w:p w14:paraId="03EBB4D6" w14:textId="77777777" w:rsidR="00DC54FF" w:rsidRPr="00DC54FF" w:rsidRDefault="00DC54FF" w:rsidP="00DC54FF">
      <w:pPr>
        <w:rPr>
          <w:b/>
        </w:rPr>
      </w:pPr>
      <w:r w:rsidRPr="00DC54FF">
        <w:rPr>
          <w:b/>
        </w:rPr>
        <w:t>Reporting Requirements</w:t>
      </w:r>
    </w:p>
    <w:p w14:paraId="03EBB4D7" w14:textId="77777777" w:rsidR="00DC54FF" w:rsidRDefault="00DC54FF" w:rsidP="00DC54FF">
      <w:pPr>
        <w:pStyle w:val="ListParagraph"/>
        <w:numPr>
          <w:ilvl w:val="0"/>
          <w:numId w:val="3"/>
        </w:numPr>
      </w:pPr>
      <w:r>
        <w:t>Financial- Income changes must be reported by the 10</w:t>
      </w:r>
      <w:r w:rsidRPr="00DC54FF">
        <w:rPr>
          <w:vertAlign w:val="superscript"/>
        </w:rPr>
        <w:t>th</w:t>
      </w:r>
      <w:r>
        <w:t xml:space="preserve"> of the month following the month the household exceeds the reporting limit on their most recent Notice of Decision (NOD).</w:t>
      </w:r>
      <w:r w:rsidR="00F65826">
        <w:t xml:space="preserve"> </w:t>
      </w:r>
      <w:r w:rsidR="00F65826" w:rsidRPr="00F65826">
        <w:rPr>
          <w:i/>
        </w:rPr>
        <w:t>BCP 27.3</w:t>
      </w:r>
    </w:p>
    <w:p w14:paraId="03EBB4D8" w14:textId="77777777" w:rsidR="00DC54FF" w:rsidRDefault="00DC54FF" w:rsidP="00DC54FF">
      <w:pPr>
        <w:pStyle w:val="ListParagraph"/>
        <w:numPr>
          <w:ilvl w:val="0"/>
          <w:numId w:val="3"/>
        </w:numPr>
        <w:tabs>
          <w:tab w:val="left" w:pos="1155"/>
        </w:tabs>
      </w:pPr>
      <w:r>
        <w:t>Non-financial changes must be reported within 10 days of the change.</w:t>
      </w:r>
      <w:r w:rsidR="00F65826">
        <w:t xml:space="preserve"> </w:t>
      </w:r>
      <w:r w:rsidR="00F65826" w:rsidRPr="00F65826">
        <w:rPr>
          <w:i/>
        </w:rPr>
        <w:t>BCP 27.2</w:t>
      </w:r>
    </w:p>
    <w:p w14:paraId="03EBB4D9" w14:textId="77777777" w:rsidR="00DC54FF" w:rsidRDefault="00DC54FF" w:rsidP="00DC54FF">
      <w:pPr>
        <w:pStyle w:val="ListParagraph"/>
        <w:numPr>
          <w:ilvl w:val="2"/>
          <w:numId w:val="3"/>
        </w:numPr>
        <w:tabs>
          <w:tab w:val="left" w:pos="1155"/>
        </w:tabs>
      </w:pPr>
      <w:r>
        <w:t xml:space="preserve">Address </w:t>
      </w:r>
    </w:p>
    <w:p w14:paraId="03EBB4DA" w14:textId="77777777" w:rsidR="00DC54FF" w:rsidRDefault="00DC54FF" w:rsidP="00DC54FF">
      <w:pPr>
        <w:pStyle w:val="ListParagraph"/>
        <w:numPr>
          <w:ilvl w:val="2"/>
          <w:numId w:val="3"/>
        </w:numPr>
        <w:tabs>
          <w:tab w:val="left" w:pos="1155"/>
        </w:tabs>
      </w:pPr>
      <w:r>
        <w:t xml:space="preserve">Household composition </w:t>
      </w:r>
    </w:p>
    <w:p w14:paraId="03EBB4DB" w14:textId="77777777" w:rsidR="00DC54FF" w:rsidRDefault="00DC54FF" w:rsidP="00DC54FF">
      <w:pPr>
        <w:pStyle w:val="ListParagraph"/>
        <w:numPr>
          <w:ilvl w:val="2"/>
          <w:numId w:val="3"/>
        </w:numPr>
        <w:tabs>
          <w:tab w:val="left" w:pos="1155"/>
        </w:tabs>
      </w:pPr>
      <w:r>
        <w:t xml:space="preserve">Living arrangement </w:t>
      </w:r>
    </w:p>
    <w:p w14:paraId="03EBB4DC" w14:textId="77777777" w:rsidR="00DC54FF" w:rsidRDefault="00DC54FF" w:rsidP="00DC54FF">
      <w:pPr>
        <w:pStyle w:val="ListParagraph"/>
        <w:numPr>
          <w:ilvl w:val="2"/>
          <w:numId w:val="3"/>
        </w:numPr>
        <w:tabs>
          <w:tab w:val="left" w:pos="1155"/>
        </w:tabs>
      </w:pPr>
      <w:r>
        <w:t>Changes in pregnancy</w:t>
      </w:r>
    </w:p>
    <w:p w14:paraId="03EBB4DD" w14:textId="77777777" w:rsidR="00DC54FF" w:rsidRDefault="00DC54FF" w:rsidP="00DC54FF">
      <w:pPr>
        <w:pStyle w:val="ListParagraph"/>
        <w:numPr>
          <w:ilvl w:val="2"/>
          <w:numId w:val="3"/>
        </w:numPr>
        <w:tabs>
          <w:tab w:val="left" w:pos="1155"/>
        </w:tabs>
      </w:pPr>
      <w:r>
        <w:t>Changes in marital status</w:t>
      </w:r>
    </w:p>
    <w:p w14:paraId="03EBB4DE" w14:textId="77777777" w:rsidR="00DC54FF" w:rsidRDefault="00DC54FF" w:rsidP="00DC54FF">
      <w:pPr>
        <w:pStyle w:val="ListParagraph"/>
        <w:numPr>
          <w:ilvl w:val="2"/>
          <w:numId w:val="3"/>
        </w:numPr>
        <w:tabs>
          <w:tab w:val="left" w:pos="1155"/>
        </w:tabs>
      </w:pPr>
      <w:r>
        <w:t>Changes in insurance coverage</w:t>
      </w:r>
    </w:p>
    <w:p w14:paraId="03EBB4DF" w14:textId="77777777" w:rsidR="00DC54FF" w:rsidRDefault="00DC54FF" w:rsidP="00DC54FF">
      <w:pPr>
        <w:pStyle w:val="ListParagraph"/>
        <w:numPr>
          <w:ilvl w:val="2"/>
          <w:numId w:val="3"/>
        </w:numPr>
        <w:tabs>
          <w:tab w:val="left" w:pos="1155"/>
        </w:tabs>
      </w:pPr>
      <w:r>
        <w:t>Changes in tax filing or tax dependents</w:t>
      </w:r>
    </w:p>
    <w:p w14:paraId="03EBB4E0" w14:textId="77777777" w:rsidR="00F65826" w:rsidRPr="00DC54FF" w:rsidRDefault="00F65826" w:rsidP="00F65826">
      <w:pPr>
        <w:tabs>
          <w:tab w:val="left" w:pos="1155"/>
        </w:tabs>
      </w:pPr>
      <w:r>
        <w:t>Notice of Decision Example:</w:t>
      </w:r>
    </w:p>
    <w:p w14:paraId="03EBB4E1" w14:textId="77777777" w:rsidR="00DC54FF" w:rsidRDefault="00F65826" w:rsidP="00F65826">
      <w:pPr>
        <w:tabs>
          <w:tab w:val="left" w:pos="1155"/>
        </w:tabs>
      </w:pPr>
      <w:r>
        <w:rPr>
          <w:noProof/>
        </w:rPr>
        <w:drawing>
          <wp:inline distT="0" distB="0" distL="0" distR="0" wp14:anchorId="03EBB4F2" wp14:editId="03EBB4F3">
            <wp:extent cx="5633049" cy="2388774"/>
            <wp:effectExtent l="76200" t="76200" r="139700"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178" t="22117" r="9660" b="19544"/>
                    <a:stretch/>
                  </pic:blipFill>
                  <pic:spPr bwMode="auto">
                    <a:xfrm>
                      <a:off x="0" y="0"/>
                      <a:ext cx="5634623" cy="23894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3EBB4E2" w14:textId="77777777" w:rsidR="00F65826" w:rsidRDefault="00F65826" w:rsidP="00F65826">
      <w:pPr>
        <w:pStyle w:val="ListParagraph"/>
        <w:numPr>
          <w:ilvl w:val="0"/>
          <w:numId w:val="3"/>
        </w:numPr>
        <w:tabs>
          <w:tab w:val="left" w:pos="1155"/>
        </w:tabs>
      </w:pPr>
      <w:r>
        <w:t xml:space="preserve">Family Planning Only Services members are only required to report changes in address and living arrangement. These changes should be reported within 10 days of the </w:t>
      </w:r>
      <w:r w:rsidR="00CF2B30">
        <w:t>occurrence</w:t>
      </w:r>
      <w:r>
        <w:t xml:space="preserve">. </w:t>
      </w:r>
      <w:r w:rsidRPr="00F65826">
        <w:rPr>
          <w:i/>
        </w:rPr>
        <w:t>BCP 27.5</w:t>
      </w:r>
      <w:r w:rsidR="00CF2B30">
        <w:rPr>
          <w:i/>
        </w:rPr>
        <w:t xml:space="preserve"> and 40.8</w:t>
      </w:r>
    </w:p>
    <w:p w14:paraId="03EBB4E3" w14:textId="77777777" w:rsidR="00F65826" w:rsidRDefault="00CF2B30" w:rsidP="00CF2B30">
      <w:pPr>
        <w:tabs>
          <w:tab w:val="left" w:pos="1155"/>
        </w:tabs>
      </w:pPr>
      <w:r>
        <w:rPr>
          <w:b/>
        </w:rPr>
        <w:t>Changes in BadgerCare P</w:t>
      </w:r>
      <w:r w:rsidR="00F65826" w:rsidRPr="00CF2B30">
        <w:rPr>
          <w:b/>
        </w:rPr>
        <w:t xml:space="preserve">remium </w:t>
      </w:r>
      <w:r w:rsidR="00F65826" w:rsidRPr="00CF2B30">
        <w:rPr>
          <w:i/>
        </w:rPr>
        <w:t>BCP 19.10</w:t>
      </w:r>
    </w:p>
    <w:p w14:paraId="03EBB4E4" w14:textId="77777777" w:rsidR="00F65826" w:rsidRDefault="00F65826" w:rsidP="00F65826">
      <w:pPr>
        <w:pStyle w:val="ListParagraph"/>
        <w:numPr>
          <w:ilvl w:val="1"/>
          <w:numId w:val="3"/>
        </w:numPr>
        <w:tabs>
          <w:tab w:val="left" w:pos="1155"/>
        </w:tabs>
      </w:pPr>
      <w:r>
        <w:t xml:space="preserve">Changes that cause an increase in BC premium are effective the next benefit month. </w:t>
      </w:r>
    </w:p>
    <w:p w14:paraId="03EBB4E5" w14:textId="77777777" w:rsidR="00F65826" w:rsidRDefault="00F65826" w:rsidP="00F65826">
      <w:pPr>
        <w:pStyle w:val="ListParagraph"/>
        <w:numPr>
          <w:ilvl w:val="1"/>
          <w:numId w:val="3"/>
        </w:numPr>
        <w:tabs>
          <w:tab w:val="left" w:pos="1155"/>
        </w:tabs>
      </w:pPr>
      <w:r>
        <w:t xml:space="preserve">Changes that cause a decrease in BC premium are effective the month of the change or the month of report, whichever is later. </w:t>
      </w:r>
    </w:p>
    <w:p w14:paraId="03EBB4E6" w14:textId="77777777" w:rsidR="00D15D7E" w:rsidRDefault="00D15D7E" w:rsidP="00D15D7E">
      <w:pPr>
        <w:tabs>
          <w:tab w:val="left" w:pos="1155"/>
        </w:tabs>
      </w:pPr>
    </w:p>
    <w:p w14:paraId="03EBB4E7" w14:textId="77777777" w:rsidR="00D15D7E" w:rsidRDefault="00D15D7E" w:rsidP="00D15D7E">
      <w:pPr>
        <w:tabs>
          <w:tab w:val="left" w:pos="1155"/>
        </w:tabs>
      </w:pPr>
    </w:p>
    <w:p w14:paraId="5F729C4C" w14:textId="77777777" w:rsidR="00FD13B1" w:rsidRDefault="00FD13B1" w:rsidP="00D15D7E">
      <w:pPr>
        <w:tabs>
          <w:tab w:val="left" w:pos="1155"/>
        </w:tabs>
      </w:pPr>
      <w:bookmarkStart w:id="0" w:name="_GoBack"/>
      <w:bookmarkEnd w:id="0"/>
    </w:p>
    <w:p w14:paraId="03EBB4E8" w14:textId="77777777" w:rsidR="00D15D7E" w:rsidRDefault="00D15D7E" w:rsidP="00D15D7E">
      <w:pPr>
        <w:tabs>
          <w:tab w:val="left" w:pos="1155"/>
        </w:tabs>
        <w:jc w:val="center"/>
        <w:rPr>
          <w:b/>
          <w:u w:val="single"/>
        </w:rPr>
      </w:pPr>
      <w:r>
        <w:rPr>
          <w:b/>
          <w:u w:val="single"/>
        </w:rPr>
        <w:t>EBD MA Changes</w:t>
      </w:r>
    </w:p>
    <w:p w14:paraId="03EBB4E9" w14:textId="77777777" w:rsidR="00D15D7E" w:rsidRDefault="00D15D7E" w:rsidP="00D15D7E">
      <w:pPr>
        <w:tabs>
          <w:tab w:val="left" w:pos="1155"/>
        </w:tabs>
        <w:rPr>
          <w:b/>
        </w:rPr>
      </w:pPr>
      <w:r>
        <w:rPr>
          <w:b/>
        </w:rPr>
        <w:lastRenderedPageBreak/>
        <w:t xml:space="preserve">Change Reporting for ALL EBD MA Cases </w:t>
      </w:r>
      <w:r w:rsidRPr="00D15D7E">
        <w:rPr>
          <w:i/>
        </w:rPr>
        <w:t>ME 12.1</w:t>
      </w:r>
    </w:p>
    <w:p w14:paraId="03EBB4EA" w14:textId="77777777" w:rsidR="0010119C" w:rsidRPr="00D15D7E" w:rsidRDefault="00D15D7E" w:rsidP="00D15D7E">
      <w:pPr>
        <w:pStyle w:val="ListParagraph"/>
        <w:numPr>
          <w:ilvl w:val="0"/>
          <w:numId w:val="6"/>
        </w:numPr>
        <w:tabs>
          <w:tab w:val="left" w:pos="1155"/>
        </w:tabs>
      </w:pPr>
      <w:r w:rsidRPr="00D15D7E">
        <w:t>Changes must be reported within 10 days of occurrence</w:t>
      </w:r>
    </w:p>
    <w:p w14:paraId="03EBB4EB" w14:textId="77777777" w:rsidR="0010119C" w:rsidRPr="00D15D7E" w:rsidRDefault="00D15D7E" w:rsidP="00D15D7E">
      <w:pPr>
        <w:pStyle w:val="ListParagraph"/>
        <w:numPr>
          <w:ilvl w:val="1"/>
          <w:numId w:val="6"/>
        </w:numPr>
        <w:tabs>
          <w:tab w:val="left" w:pos="1155"/>
        </w:tabs>
      </w:pPr>
      <w:r w:rsidRPr="00D15D7E">
        <w:t>Address</w:t>
      </w:r>
    </w:p>
    <w:p w14:paraId="03EBB4EC" w14:textId="77777777" w:rsidR="0010119C" w:rsidRPr="00D15D7E" w:rsidRDefault="00D15D7E" w:rsidP="00D15D7E">
      <w:pPr>
        <w:pStyle w:val="ListParagraph"/>
        <w:numPr>
          <w:ilvl w:val="1"/>
          <w:numId w:val="6"/>
        </w:numPr>
        <w:tabs>
          <w:tab w:val="left" w:pos="1155"/>
        </w:tabs>
      </w:pPr>
      <w:r w:rsidRPr="00D15D7E">
        <w:t>Income</w:t>
      </w:r>
    </w:p>
    <w:p w14:paraId="03EBB4ED" w14:textId="77777777" w:rsidR="0010119C" w:rsidRPr="00D15D7E" w:rsidRDefault="00D15D7E" w:rsidP="00D15D7E">
      <w:pPr>
        <w:pStyle w:val="ListParagraph"/>
        <w:numPr>
          <w:ilvl w:val="1"/>
          <w:numId w:val="6"/>
        </w:numPr>
        <w:tabs>
          <w:tab w:val="left" w:pos="1155"/>
        </w:tabs>
      </w:pPr>
      <w:r w:rsidRPr="00D15D7E">
        <w:t>Assets</w:t>
      </w:r>
    </w:p>
    <w:p w14:paraId="03EBB4EE" w14:textId="77777777" w:rsidR="0010119C" w:rsidRPr="00D15D7E" w:rsidRDefault="00D15D7E" w:rsidP="00D15D7E">
      <w:pPr>
        <w:pStyle w:val="ListParagraph"/>
        <w:numPr>
          <w:ilvl w:val="1"/>
          <w:numId w:val="6"/>
        </w:numPr>
        <w:tabs>
          <w:tab w:val="left" w:pos="1155"/>
        </w:tabs>
      </w:pPr>
      <w:r w:rsidRPr="00D15D7E">
        <w:t>Need</w:t>
      </w:r>
    </w:p>
    <w:p w14:paraId="03EBB4EF" w14:textId="77777777" w:rsidR="0010119C" w:rsidRPr="00D15D7E" w:rsidRDefault="00D15D7E" w:rsidP="00D15D7E">
      <w:pPr>
        <w:pStyle w:val="ListParagraph"/>
        <w:numPr>
          <w:ilvl w:val="1"/>
          <w:numId w:val="6"/>
        </w:numPr>
        <w:tabs>
          <w:tab w:val="left" w:pos="1155"/>
        </w:tabs>
      </w:pPr>
      <w:r w:rsidRPr="00D15D7E">
        <w:t>Medical Expenses</w:t>
      </w:r>
    </w:p>
    <w:p w14:paraId="03EBB4F0" w14:textId="77777777" w:rsidR="0010119C" w:rsidRDefault="00D15D7E" w:rsidP="00D15D7E">
      <w:pPr>
        <w:pStyle w:val="ListParagraph"/>
        <w:numPr>
          <w:ilvl w:val="1"/>
          <w:numId w:val="6"/>
        </w:numPr>
        <w:tabs>
          <w:tab w:val="left" w:pos="1155"/>
        </w:tabs>
      </w:pPr>
      <w:r w:rsidRPr="00D15D7E">
        <w:t>Living Arrangements</w:t>
      </w:r>
    </w:p>
    <w:p w14:paraId="0F2FCE75" w14:textId="77777777" w:rsidR="00C16C59" w:rsidRPr="00D15D7E" w:rsidRDefault="00C16C59" w:rsidP="00C16C59">
      <w:pPr>
        <w:pStyle w:val="ListParagraph"/>
        <w:tabs>
          <w:tab w:val="left" w:pos="1155"/>
        </w:tabs>
        <w:ind w:left="1800"/>
      </w:pPr>
    </w:p>
    <w:p w14:paraId="03EBB4F1" w14:textId="77777777" w:rsidR="00D15D7E" w:rsidRDefault="00D15D7E" w:rsidP="00D15D7E">
      <w:pPr>
        <w:pStyle w:val="ListParagraph"/>
        <w:tabs>
          <w:tab w:val="left" w:pos="1155"/>
        </w:tabs>
        <w:ind w:left="1515"/>
      </w:pPr>
    </w:p>
    <w:p w14:paraId="0FA9DFCE" w14:textId="4101EEBA" w:rsidR="00C16C59" w:rsidRDefault="00C16C59" w:rsidP="00C16C59">
      <w:pPr>
        <w:pStyle w:val="ListParagraph"/>
        <w:tabs>
          <w:tab w:val="left" w:pos="1155"/>
        </w:tabs>
        <w:ind w:left="0"/>
        <w:rPr>
          <w:b/>
          <w:u w:val="single"/>
        </w:rPr>
      </w:pPr>
      <w:r w:rsidRPr="00C16C59">
        <w:rPr>
          <w:b/>
          <w:u w:val="single"/>
        </w:rPr>
        <w:t>Running with Dates for Health Care programs</w:t>
      </w:r>
    </w:p>
    <w:p w14:paraId="02303A0E" w14:textId="77777777" w:rsidR="00C16C59" w:rsidRDefault="00C16C59" w:rsidP="00C16C59">
      <w:pPr>
        <w:pStyle w:val="ListParagraph"/>
        <w:tabs>
          <w:tab w:val="left" w:pos="1155"/>
        </w:tabs>
        <w:ind w:left="0"/>
      </w:pPr>
    </w:p>
    <w:p w14:paraId="591396B3" w14:textId="77777777" w:rsidR="00C16C59" w:rsidRDefault="00C16C59" w:rsidP="00C16C59">
      <w:pPr>
        <w:rPr>
          <w:sz w:val="24"/>
          <w:szCs w:val="24"/>
        </w:rPr>
      </w:pPr>
      <w:r>
        <w:rPr>
          <w:sz w:val="24"/>
          <w:szCs w:val="24"/>
        </w:rPr>
        <w:t>We often need to run with a date for Health Care as changes may impact the current month (if a positive change for the client). Some of these changes are:</w:t>
      </w:r>
    </w:p>
    <w:p w14:paraId="5F893475" w14:textId="77777777" w:rsidR="00C16C59" w:rsidRDefault="00C16C59" w:rsidP="00C16C59">
      <w:pPr>
        <w:pStyle w:val="ListParagraph"/>
        <w:numPr>
          <w:ilvl w:val="0"/>
          <w:numId w:val="8"/>
        </w:numPr>
        <w:spacing w:line="256" w:lineRule="auto"/>
        <w:rPr>
          <w:sz w:val="24"/>
          <w:szCs w:val="24"/>
        </w:rPr>
      </w:pPr>
      <w:r>
        <w:rPr>
          <w:sz w:val="24"/>
          <w:szCs w:val="24"/>
        </w:rPr>
        <w:t>Non-financial changes that may open MA,</w:t>
      </w:r>
    </w:p>
    <w:p w14:paraId="2DAE47C5" w14:textId="77777777" w:rsidR="00C16C59" w:rsidRDefault="00C16C59" w:rsidP="00C16C59">
      <w:pPr>
        <w:pStyle w:val="ListParagraph"/>
        <w:numPr>
          <w:ilvl w:val="0"/>
          <w:numId w:val="8"/>
        </w:numPr>
        <w:spacing w:line="256" w:lineRule="auto"/>
        <w:rPr>
          <w:sz w:val="24"/>
          <w:szCs w:val="24"/>
        </w:rPr>
      </w:pPr>
      <w:r>
        <w:rPr>
          <w:sz w:val="24"/>
          <w:szCs w:val="24"/>
        </w:rPr>
        <w:t>Decrease in income they may open MA without a premium or decrease current premium,</w:t>
      </w:r>
    </w:p>
    <w:p w14:paraId="12040D30" w14:textId="77777777" w:rsidR="00C16C59" w:rsidRDefault="00C16C59" w:rsidP="00C16C59">
      <w:pPr>
        <w:pStyle w:val="ListParagraph"/>
        <w:numPr>
          <w:ilvl w:val="0"/>
          <w:numId w:val="8"/>
        </w:numPr>
        <w:spacing w:line="256" w:lineRule="auto"/>
        <w:rPr>
          <w:sz w:val="24"/>
          <w:szCs w:val="24"/>
        </w:rPr>
      </w:pPr>
      <w:r>
        <w:rPr>
          <w:sz w:val="24"/>
          <w:szCs w:val="24"/>
        </w:rPr>
        <w:t>Adding a person or newborn.</w:t>
      </w:r>
    </w:p>
    <w:p w14:paraId="31F769FA" w14:textId="357FC6CF" w:rsidR="009F7279" w:rsidRDefault="009F7279" w:rsidP="00C16C59">
      <w:r>
        <w:t>Confirming eligibility for health care while running with dates will certify the eligibility within Forward Health.</w:t>
      </w:r>
    </w:p>
    <w:p w14:paraId="3ABB4F2C" w14:textId="7BA97A60" w:rsidR="00C16C59" w:rsidRDefault="00C16C59" w:rsidP="00C16C59">
      <w:pPr>
        <w:rPr>
          <w:sz w:val="24"/>
          <w:szCs w:val="24"/>
        </w:rPr>
      </w:pPr>
      <w:r>
        <w:rPr>
          <w:sz w:val="24"/>
          <w:szCs w:val="24"/>
        </w:rPr>
        <w:t xml:space="preserve">***If the case is also open for FS, do NOT confirm the FS. FS changes impact the next benefit month not the current month. If you accidently confirm FS, suppress the notice so that the client does not receive a notice showing the incorrect benefit allotment. </w:t>
      </w:r>
    </w:p>
    <w:p w14:paraId="02C1BE83" w14:textId="77777777" w:rsidR="00C16C59" w:rsidRPr="00C16C59" w:rsidRDefault="00C16C59" w:rsidP="00C16C59">
      <w:pPr>
        <w:pStyle w:val="ListParagraph"/>
        <w:tabs>
          <w:tab w:val="left" w:pos="1155"/>
        </w:tabs>
        <w:ind w:left="0"/>
      </w:pPr>
    </w:p>
    <w:sectPr w:rsidR="00C16C59" w:rsidRPr="00C16C59" w:rsidSect="00DC54F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BB4F6" w14:textId="77777777" w:rsidR="00D05F59" w:rsidRDefault="00D05F59" w:rsidP="00D05F59">
      <w:pPr>
        <w:spacing w:after="0" w:line="240" w:lineRule="auto"/>
      </w:pPr>
      <w:r>
        <w:separator/>
      </w:r>
    </w:p>
  </w:endnote>
  <w:endnote w:type="continuationSeparator" w:id="0">
    <w:p w14:paraId="03EBB4F7" w14:textId="77777777" w:rsidR="00D05F59" w:rsidRDefault="00D05F59" w:rsidP="00D0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B4FB" w14:textId="70F593E7" w:rsidR="00D05F59" w:rsidRDefault="00BB158D">
    <w:pPr>
      <w:pStyle w:val="Footer"/>
    </w:pPr>
    <w:r>
      <w:t>8/28/18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B4F4" w14:textId="77777777" w:rsidR="00D05F59" w:rsidRDefault="00D05F59" w:rsidP="00D05F59">
      <w:pPr>
        <w:spacing w:after="0" w:line="240" w:lineRule="auto"/>
      </w:pPr>
      <w:r>
        <w:separator/>
      </w:r>
    </w:p>
  </w:footnote>
  <w:footnote w:type="continuationSeparator" w:id="0">
    <w:p w14:paraId="03EBB4F5" w14:textId="77777777" w:rsidR="00D05F59" w:rsidRDefault="00D05F59" w:rsidP="00D05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1BC"/>
    <w:multiLevelType w:val="hybridMultilevel"/>
    <w:tmpl w:val="E2F4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969"/>
    <w:multiLevelType w:val="hybridMultilevel"/>
    <w:tmpl w:val="A5AEA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4F40"/>
    <w:multiLevelType w:val="hybridMultilevel"/>
    <w:tmpl w:val="99F8420C"/>
    <w:lvl w:ilvl="0" w:tplc="B52A9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B4CA1"/>
    <w:multiLevelType w:val="hybridMultilevel"/>
    <w:tmpl w:val="DE1EAAB6"/>
    <w:lvl w:ilvl="0" w:tplc="A5ECEA76">
      <w:start w:val="1"/>
      <w:numFmt w:val="bullet"/>
      <w:lvlText w:val=""/>
      <w:lvlJc w:val="left"/>
      <w:pPr>
        <w:tabs>
          <w:tab w:val="num" w:pos="720"/>
        </w:tabs>
        <w:ind w:left="720" w:hanging="360"/>
      </w:pPr>
      <w:rPr>
        <w:rFonts w:ascii="Wingdings" w:hAnsi="Wingdings" w:hint="default"/>
      </w:rPr>
    </w:lvl>
    <w:lvl w:ilvl="1" w:tplc="30FECF58">
      <w:start w:val="69"/>
      <w:numFmt w:val="bullet"/>
      <w:lvlText w:val=""/>
      <w:lvlJc w:val="left"/>
      <w:pPr>
        <w:tabs>
          <w:tab w:val="num" w:pos="1440"/>
        </w:tabs>
        <w:ind w:left="1440" w:hanging="360"/>
      </w:pPr>
      <w:rPr>
        <w:rFonts w:ascii="Wingdings" w:hAnsi="Wingdings" w:hint="default"/>
      </w:rPr>
    </w:lvl>
    <w:lvl w:ilvl="2" w:tplc="0BD2D3C6" w:tentative="1">
      <w:start w:val="1"/>
      <w:numFmt w:val="bullet"/>
      <w:lvlText w:val=""/>
      <w:lvlJc w:val="left"/>
      <w:pPr>
        <w:tabs>
          <w:tab w:val="num" w:pos="2160"/>
        </w:tabs>
        <w:ind w:left="2160" w:hanging="360"/>
      </w:pPr>
      <w:rPr>
        <w:rFonts w:ascii="Wingdings" w:hAnsi="Wingdings" w:hint="default"/>
      </w:rPr>
    </w:lvl>
    <w:lvl w:ilvl="3" w:tplc="0BD8AED0" w:tentative="1">
      <w:start w:val="1"/>
      <w:numFmt w:val="bullet"/>
      <w:lvlText w:val=""/>
      <w:lvlJc w:val="left"/>
      <w:pPr>
        <w:tabs>
          <w:tab w:val="num" w:pos="2880"/>
        </w:tabs>
        <w:ind w:left="2880" w:hanging="360"/>
      </w:pPr>
      <w:rPr>
        <w:rFonts w:ascii="Wingdings" w:hAnsi="Wingdings" w:hint="default"/>
      </w:rPr>
    </w:lvl>
    <w:lvl w:ilvl="4" w:tplc="E8EE9ACA" w:tentative="1">
      <w:start w:val="1"/>
      <w:numFmt w:val="bullet"/>
      <w:lvlText w:val=""/>
      <w:lvlJc w:val="left"/>
      <w:pPr>
        <w:tabs>
          <w:tab w:val="num" w:pos="3600"/>
        </w:tabs>
        <w:ind w:left="3600" w:hanging="360"/>
      </w:pPr>
      <w:rPr>
        <w:rFonts w:ascii="Wingdings" w:hAnsi="Wingdings" w:hint="default"/>
      </w:rPr>
    </w:lvl>
    <w:lvl w:ilvl="5" w:tplc="C304EC7A" w:tentative="1">
      <w:start w:val="1"/>
      <w:numFmt w:val="bullet"/>
      <w:lvlText w:val=""/>
      <w:lvlJc w:val="left"/>
      <w:pPr>
        <w:tabs>
          <w:tab w:val="num" w:pos="4320"/>
        </w:tabs>
        <w:ind w:left="4320" w:hanging="360"/>
      </w:pPr>
      <w:rPr>
        <w:rFonts w:ascii="Wingdings" w:hAnsi="Wingdings" w:hint="default"/>
      </w:rPr>
    </w:lvl>
    <w:lvl w:ilvl="6" w:tplc="A1769C68" w:tentative="1">
      <w:start w:val="1"/>
      <w:numFmt w:val="bullet"/>
      <w:lvlText w:val=""/>
      <w:lvlJc w:val="left"/>
      <w:pPr>
        <w:tabs>
          <w:tab w:val="num" w:pos="5040"/>
        </w:tabs>
        <w:ind w:left="5040" w:hanging="360"/>
      </w:pPr>
      <w:rPr>
        <w:rFonts w:ascii="Wingdings" w:hAnsi="Wingdings" w:hint="default"/>
      </w:rPr>
    </w:lvl>
    <w:lvl w:ilvl="7" w:tplc="E2FED416" w:tentative="1">
      <w:start w:val="1"/>
      <w:numFmt w:val="bullet"/>
      <w:lvlText w:val=""/>
      <w:lvlJc w:val="left"/>
      <w:pPr>
        <w:tabs>
          <w:tab w:val="num" w:pos="5760"/>
        </w:tabs>
        <w:ind w:left="5760" w:hanging="360"/>
      </w:pPr>
      <w:rPr>
        <w:rFonts w:ascii="Wingdings" w:hAnsi="Wingdings" w:hint="default"/>
      </w:rPr>
    </w:lvl>
    <w:lvl w:ilvl="8" w:tplc="D1F682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E3D59"/>
    <w:multiLevelType w:val="hybridMultilevel"/>
    <w:tmpl w:val="EA705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51F75"/>
    <w:multiLevelType w:val="hybridMultilevel"/>
    <w:tmpl w:val="0826F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152DD"/>
    <w:multiLevelType w:val="hybridMultilevel"/>
    <w:tmpl w:val="161EF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7762A"/>
    <w:multiLevelType w:val="hybridMultilevel"/>
    <w:tmpl w:val="4702979A"/>
    <w:lvl w:ilvl="0" w:tplc="B8C4EC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FF"/>
    <w:rsid w:val="0010119C"/>
    <w:rsid w:val="007233ED"/>
    <w:rsid w:val="009F7279"/>
    <w:rsid w:val="00AD7E85"/>
    <w:rsid w:val="00BB158D"/>
    <w:rsid w:val="00C16C59"/>
    <w:rsid w:val="00CF2B30"/>
    <w:rsid w:val="00D05F59"/>
    <w:rsid w:val="00D15D7E"/>
    <w:rsid w:val="00DC54FF"/>
    <w:rsid w:val="00F65826"/>
    <w:rsid w:val="00FD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B4CF"/>
  <w15:chartTrackingRefBased/>
  <w15:docId w15:val="{B019D6C3-43FA-46E5-93B3-1354A958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FF"/>
    <w:pPr>
      <w:ind w:left="720"/>
      <w:contextualSpacing/>
    </w:pPr>
  </w:style>
  <w:style w:type="paragraph" w:styleId="Header">
    <w:name w:val="header"/>
    <w:basedOn w:val="Normal"/>
    <w:link w:val="HeaderChar"/>
    <w:uiPriority w:val="99"/>
    <w:unhideWhenUsed/>
    <w:rsid w:val="00D0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59"/>
  </w:style>
  <w:style w:type="paragraph" w:styleId="Footer">
    <w:name w:val="footer"/>
    <w:basedOn w:val="Normal"/>
    <w:link w:val="FooterChar"/>
    <w:uiPriority w:val="99"/>
    <w:unhideWhenUsed/>
    <w:rsid w:val="00D0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59"/>
  </w:style>
  <w:style w:type="paragraph" w:styleId="BalloonText">
    <w:name w:val="Balloon Text"/>
    <w:basedOn w:val="Normal"/>
    <w:link w:val="BalloonTextChar"/>
    <w:uiPriority w:val="99"/>
    <w:semiHidden/>
    <w:unhideWhenUsed/>
    <w:rsid w:val="00BB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3713">
      <w:bodyDiv w:val="1"/>
      <w:marLeft w:val="0"/>
      <w:marRight w:val="0"/>
      <w:marTop w:val="0"/>
      <w:marBottom w:val="0"/>
      <w:divBdr>
        <w:top w:val="none" w:sz="0" w:space="0" w:color="auto"/>
        <w:left w:val="none" w:sz="0" w:space="0" w:color="auto"/>
        <w:bottom w:val="none" w:sz="0" w:space="0" w:color="auto"/>
        <w:right w:val="none" w:sz="0" w:space="0" w:color="auto"/>
      </w:divBdr>
      <w:divsChild>
        <w:div w:id="957566621">
          <w:marLeft w:val="288"/>
          <w:marRight w:val="0"/>
          <w:marTop w:val="240"/>
          <w:marBottom w:val="0"/>
          <w:divBdr>
            <w:top w:val="none" w:sz="0" w:space="0" w:color="auto"/>
            <w:left w:val="none" w:sz="0" w:space="0" w:color="auto"/>
            <w:bottom w:val="none" w:sz="0" w:space="0" w:color="auto"/>
            <w:right w:val="none" w:sz="0" w:space="0" w:color="auto"/>
          </w:divBdr>
        </w:div>
        <w:div w:id="1712997922">
          <w:marLeft w:val="720"/>
          <w:marRight w:val="0"/>
          <w:marTop w:val="80"/>
          <w:marBottom w:val="40"/>
          <w:divBdr>
            <w:top w:val="none" w:sz="0" w:space="0" w:color="auto"/>
            <w:left w:val="none" w:sz="0" w:space="0" w:color="auto"/>
            <w:bottom w:val="none" w:sz="0" w:space="0" w:color="auto"/>
            <w:right w:val="none" w:sz="0" w:space="0" w:color="auto"/>
          </w:divBdr>
        </w:div>
        <w:div w:id="2037347142">
          <w:marLeft w:val="720"/>
          <w:marRight w:val="0"/>
          <w:marTop w:val="80"/>
          <w:marBottom w:val="40"/>
          <w:divBdr>
            <w:top w:val="none" w:sz="0" w:space="0" w:color="auto"/>
            <w:left w:val="none" w:sz="0" w:space="0" w:color="auto"/>
            <w:bottom w:val="none" w:sz="0" w:space="0" w:color="auto"/>
            <w:right w:val="none" w:sz="0" w:space="0" w:color="auto"/>
          </w:divBdr>
        </w:div>
        <w:div w:id="1056853073">
          <w:marLeft w:val="720"/>
          <w:marRight w:val="0"/>
          <w:marTop w:val="80"/>
          <w:marBottom w:val="40"/>
          <w:divBdr>
            <w:top w:val="none" w:sz="0" w:space="0" w:color="auto"/>
            <w:left w:val="none" w:sz="0" w:space="0" w:color="auto"/>
            <w:bottom w:val="none" w:sz="0" w:space="0" w:color="auto"/>
            <w:right w:val="none" w:sz="0" w:space="0" w:color="auto"/>
          </w:divBdr>
        </w:div>
        <w:div w:id="1711956620">
          <w:marLeft w:val="720"/>
          <w:marRight w:val="0"/>
          <w:marTop w:val="80"/>
          <w:marBottom w:val="40"/>
          <w:divBdr>
            <w:top w:val="none" w:sz="0" w:space="0" w:color="auto"/>
            <w:left w:val="none" w:sz="0" w:space="0" w:color="auto"/>
            <w:bottom w:val="none" w:sz="0" w:space="0" w:color="auto"/>
            <w:right w:val="none" w:sz="0" w:space="0" w:color="auto"/>
          </w:divBdr>
        </w:div>
        <w:div w:id="1104112282">
          <w:marLeft w:val="720"/>
          <w:marRight w:val="0"/>
          <w:marTop w:val="80"/>
          <w:marBottom w:val="40"/>
          <w:divBdr>
            <w:top w:val="none" w:sz="0" w:space="0" w:color="auto"/>
            <w:left w:val="none" w:sz="0" w:space="0" w:color="auto"/>
            <w:bottom w:val="none" w:sz="0" w:space="0" w:color="auto"/>
            <w:right w:val="none" w:sz="0" w:space="0" w:color="auto"/>
          </w:divBdr>
        </w:div>
        <w:div w:id="2020811946">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Changes and EBT Screens</Value>
    </Training_x0020_Topic>
    <Document_x0020_Type xmlns="2f254586-b35f-4441-a040-f54e6e92090e">
      <Value>New Worker Classroom Training</Value>
      <Value>Desk Aid</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FCBB9-653F-4876-940A-78F8AD36D354}">
  <ds:schemaRefs>
    <ds:schemaRef ds:uri="http://schemas.microsoft.com/sharepoint/v3/contenttype/forms"/>
  </ds:schemaRefs>
</ds:datastoreItem>
</file>

<file path=customXml/itemProps2.xml><?xml version="1.0" encoding="utf-8"?>
<ds:datastoreItem xmlns:ds="http://schemas.openxmlformats.org/officeDocument/2006/customXml" ds:itemID="{C2FC28C6-A224-4431-B02B-A3533E1DE1CE}">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600C69A2-8C7F-4534-AB2A-3E6E2836AE60}"/>
</file>

<file path=docProps/app.xml><?xml version="1.0" encoding="utf-8"?>
<Properties xmlns="http://schemas.openxmlformats.org/officeDocument/2006/extended-properties" xmlns:vt="http://schemas.openxmlformats.org/officeDocument/2006/docPropsVTypes">
  <Template>Normal</Template>
  <TotalTime>51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7</cp:revision>
  <cp:lastPrinted>2018-08-28T15:11:00Z</cp:lastPrinted>
  <dcterms:created xsi:type="dcterms:W3CDTF">2017-11-29T20:53:00Z</dcterms:created>
  <dcterms:modified xsi:type="dcterms:W3CDTF">2019-03-08T15:43:00Z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