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E19B" w14:textId="77777777" w:rsidR="009B2627" w:rsidRPr="009B2627" w:rsidRDefault="009B2627" w:rsidP="009B2627">
      <w:pPr>
        <w:pStyle w:val="Default"/>
        <w:rPr>
          <w:rFonts w:ascii="Arial" w:hAnsi="Arial" w:cs="Arial"/>
          <w:sz w:val="32"/>
          <w:szCs w:val="32"/>
        </w:rPr>
      </w:pPr>
    </w:p>
    <w:tbl>
      <w:tblPr>
        <w:tblW w:w="14580" w:type="dxa"/>
        <w:tblInd w:w="-6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70"/>
        <w:gridCol w:w="6480"/>
        <w:gridCol w:w="4230"/>
      </w:tblGrid>
      <w:tr w:rsidR="009B2627" w:rsidRPr="009B2627" w14:paraId="6B8E71EA" w14:textId="77777777" w:rsidTr="009B2627">
        <w:tblPrEx>
          <w:tblCellMar>
            <w:top w:w="0" w:type="dxa"/>
            <w:bottom w:w="0" w:type="dxa"/>
          </w:tblCellMar>
        </w:tblPrEx>
        <w:trPr>
          <w:trHeight w:val="140"/>
        </w:trPr>
        <w:tc>
          <w:tcPr>
            <w:tcW w:w="3870" w:type="dxa"/>
            <w:tcBorders>
              <w:top w:val="none" w:sz="6" w:space="0" w:color="auto"/>
              <w:bottom w:val="none" w:sz="6" w:space="0" w:color="auto"/>
              <w:right w:val="none" w:sz="6" w:space="0" w:color="auto"/>
            </w:tcBorders>
            <w:shd w:val="clear" w:color="auto" w:fill="auto"/>
          </w:tcPr>
          <w:p w14:paraId="769FED8B" w14:textId="77777777" w:rsidR="009B2627" w:rsidRPr="009B2627" w:rsidRDefault="009B2627">
            <w:pPr>
              <w:pStyle w:val="Default"/>
              <w:rPr>
                <w:rFonts w:ascii="Arial" w:hAnsi="Arial" w:cs="Arial"/>
                <w:sz w:val="22"/>
                <w:szCs w:val="22"/>
              </w:rPr>
            </w:pPr>
            <w:r w:rsidRPr="009B2627">
              <w:rPr>
                <w:rFonts w:ascii="Arial" w:hAnsi="Arial" w:cs="Arial"/>
                <w:sz w:val="22"/>
                <w:szCs w:val="22"/>
              </w:rPr>
              <w:t xml:space="preserve"> </w:t>
            </w:r>
            <w:r w:rsidRPr="009B2627">
              <w:rPr>
                <w:rFonts w:ascii="Arial" w:hAnsi="Arial" w:cs="Arial"/>
                <w:b/>
                <w:bCs/>
                <w:sz w:val="22"/>
                <w:szCs w:val="22"/>
              </w:rPr>
              <w:t xml:space="preserve">Work Registrant Exemptions </w:t>
            </w:r>
          </w:p>
        </w:tc>
        <w:tc>
          <w:tcPr>
            <w:tcW w:w="6480" w:type="dxa"/>
            <w:tcBorders>
              <w:top w:val="none" w:sz="6" w:space="0" w:color="auto"/>
              <w:left w:val="none" w:sz="6" w:space="0" w:color="auto"/>
              <w:bottom w:val="none" w:sz="6" w:space="0" w:color="auto"/>
              <w:right w:val="none" w:sz="6" w:space="0" w:color="auto"/>
            </w:tcBorders>
          </w:tcPr>
          <w:p w14:paraId="7068DF9C" w14:textId="77777777" w:rsidR="009B2627" w:rsidRPr="009B2627" w:rsidRDefault="009B2627">
            <w:pPr>
              <w:pStyle w:val="Default"/>
              <w:rPr>
                <w:rFonts w:ascii="Arial" w:hAnsi="Arial" w:cs="Arial"/>
                <w:sz w:val="22"/>
                <w:szCs w:val="22"/>
              </w:rPr>
            </w:pPr>
            <w:r w:rsidRPr="009B2627">
              <w:rPr>
                <w:rFonts w:ascii="Arial" w:hAnsi="Arial" w:cs="Arial"/>
                <w:b/>
                <w:bCs/>
                <w:sz w:val="22"/>
                <w:szCs w:val="22"/>
              </w:rPr>
              <w:t xml:space="preserve">Work Registrant AND ABAWD Exemptions </w:t>
            </w:r>
          </w:p>
        </w:tc>
        <w:tc>
          <w:tcPr>
            <w:tcW w:w="4230" w:type="dxa"/>
            <w:tcBorders>
              <w:top w:val="none" w:sz="6" w:space="0" w:color="auto"/>
              <w:left w:val="none" w:sz="6" w:space="0" w:color="auto"/>
              <w:bottom w:val="none" w:sz="6" w:space="0" w:color="auto"/>
            </w:tcBorders>
          </w:tcPr>
          <w:p w14:paraId="02575617" w14:textId="77777777" w:rsidR="009B2627" w:rsidRPr="009B2627" w:rsidRDefault="009B2627">
            <w:pPr>
              <w:pStyle w:val="Default"/>
              <w:rPr>
                <w:rFonts w:ascii="Arial" w:hAnsi="Arial" w:cs="Arial"/>
                <w:sz w:val="22"/>
                <w:szCs w:val="22"/>
              </w:rPr>
            </w:pPr>
            <w:r w:rsidRPr="009B2627">
              <w:rPr>
                <w:rFonts w:ascii="Arial" w:hAnsi="Arial" w:cs="Arial"/>
                <w:b/>
                <w:bCs/>
                <w:sz w:val="22"/>
                <w:szCs w:val="22"/>
              </w:rPr>
              <w:t xml:space="preserve">ABAWD Exemptions </w:t>
            </w:r>
          </w:p>
        </w:tc>
      </w:tr>
      <w:tr w:rsidR="009B2627" w:rsidRPr="009B2627" w14:paraId="21B4124A" w14:textId="77777777" w:rsidTr="009B2627">
        <w:tblPrEx>
          <w:tblCellMar>
            <w:top w:w="0" w:type="dxa"/>
            <w:bottom w:w="0" w:type="dxa"/>
          </w:tblCellMar>
        </w:tblPrEx>
        <w:trPr>
          <w:trHeight w:val="100"/>
        </w:trPr>
        <w:tc>
          <w:tcPr>
            <w:tcW w:w="3870" w:type="dxa"/>
            <w:tcBorders>
              <w:top w:val="none" w:sz="6" w:space="0" w:color="auto"/>
              <w:bottom w:val="none" w:sz="6" w:space="0" w:color="auto"/>
              <w:right w:val="none" w:sz="6" w:space="0" w:color="auto"/>
            </w:tcBorders>
            <w:shd w:val="clear" w:color="auto" w:fill="auto"/>
          </w:tcPr>
          <w:p w14:paraId="52B51BBD" w14:textId="77777777" w:rsidR="009B2627" w:rsidRPr="009B2627" w:rsidRDefault="009B2627">
            <w:pPr>
              <w:pStyle w:val="Default"/>
              <w:rPr>
                <w:rFonts w:ascii="Arial" w:hAnsi="Arial" w:cs="Arial"/>
                <w:sz w:val="22"/>
                <w:szCs w:val="22"/>
              </w:rPr>
            </w:pPr>
            <w:r w:rsidRPr="009B2627">
              <w:rPr>
                <w:rFonts w:ascii="Arial" w:hAnsi="Arial" w:cs="Arial"/>
                <w:b/>
                <w:bCs/>
                <w:sz w:val="22"/>
                <w:szCs w:val="22"/>
              </w:rPr>
              <w:t xml:space="preserve">The Basic Work Rules </w:t>
            </w:r>
          </w:p>
        </w:tc>
        <w:tc>
          <w:tcPr>
            <w:tcW w:w="6480" w:type="dxa"/>
            <w:tcBorders>
              <w:top w:val="none" w:sz="6" w:space="0" w:color="auto"/>
              <w:left w:val="none" w:sz="6" w:space="0" w:color="auto"/>
              <w:bottom w:val="none" w:sz="6" w:space="0" w:color="auto"/>
              <w:right w:val="none" w:sz="6" w:space="0" w:color="auto"/>
            </w:tcBorders>
          </w:tcPr>
          <w:p w14:paraId="08F60AA3" w14:textId="77777777" w:rsidR="009B2627" w:rsidRPr="009B2627" w:rsidRDefault="009B2627">
            <w:pPr>
              <w:pStyle w:val="Default"/>
              <w:rPr>
                <w:rFonts w:ascii="Arial" w:hAnsi="Arial" w:cs="Arial"/>
                <w:sz w:val="22"/>
                <w:szCs w:val="22"/>
              </w:rPr>
            </w:pPr>
            <w:r w:rsidRPr="009B2627">
              <w:rPr>
                <w:rFonts w:ascii="Arial" w:hAnsi="Arial" w:cs="Arial"/>
                <w:b/>
                <w:bCs/>
                <w:sz w:val="22"/>
                <w:szCs w:val="22"/>
              </w:rPr>
              <w:t xml:space="preserve">The Basic Work Rules and the FoodShare Work Requirement </w:t>
            </w:r>
          </w:p>
        </w:tc>
        <w:tc>
          <w:tcPr>
            <w:tcW w:w="4230" w:type="dxa"/>
            <w:tcBorders>
              <w:top w:val="none" w:sz="6" w:space="0" w:color="auto"/>
              <w:left w:val="none" w:sz="6" w:space="0" w:color="auto"/>
              <w:bottom w:val="none" w:sz="6" w:space="0" w:color="auto"/>
            </w:tcBorders>
          </w:tcPr>
          <w:p w14:paraId="6202D50C" w14:textId="77777777" w:rsidR="009B2627" w:rsidRPr="009B2627" w:rsidRDefault="009B2627">
            <w:pPr>
              <w:pStyle w:val="Default"/>
              <w:rPr>
                <w:rFonts w:ascii="Arial" w:hAnsi="Arial" w:cs="Arial"/>
                <w:sz w:val="22"/>
                <w:szCs w:val="22"/>
              </w:rPr>
            </w:pPr>
            <w:r w:rsidRPr="009B2627">
              <w:rPr>
                <w:rFonts w:ascii="Arial" w:hAnsi="Arial" w:cs="Arial"/>
                <w:b/>
                <w:bCs/>
                <w:sz w:val="22"/>
                <w:szCs w:val="22"/>
              </w:rPr>
              <w:t xml:space="preserve">The FoodShare Work Requirement </w:t>
            </w:r>
          </w:p>
        </w:tc>
      </w:tr>
      <w:tr w:rsidR="009B2627" w:rsidRPr="009B2627" w14:paraId="3F7799DC" w14:textId="77777777" w:rsidTr="009B2627">
        <w:tblPrEx>
          <w:tblCellMar>
            <w:top w:w="0" w:type="dxa"/>
            <w:bottom w:w="0" w:type="dxa"/>
          </w:tblCellMar>
        </w:tblPrEx>
        <w:trPr>
          <w:trHeight w:val="8529"/>
        </w:trPr>
        <w:tc>
          <w:tcPr>
            <w:tcW w:w="3870" w:type="dxa"/>
            <w:tcBorders>
              <w:top w:val="none" w:sz="6" w:space="0" w:color="auto"/>
              <w:bottom w:val="none" w:sz="6" w:space="0" w:color="auto"/>
              <w:right w:val="none" w:sz="6" w:space="0" w:color="auto"/>
            </w:tcBorders>
          </w:tcPr>
          <w:p w14:paraId="544112BC"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Under age 16 or age 60 and older </w:t>
            </w:r>
          </w:p>
          <w:p w14:paraId="5F78959B"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16-17 years old and not the primary person in a food unit </w:t>
            </w:r>
          </w:p>
          <w:p w14:paraId="301036F2"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16-17 years old, the primary person in a food unit, and enrolled in school or an employment and training program at least half-time </w:t>
            </w:r>
          </w:p>
          <w:p w14:paraId="7918C15F" w14:textId="77777777" w:rsidR="009B2627" w:rsidRPr="009B2627" w:rsidRDefault="009B2627">
            <w:pPr>
              <w:pStyle w:val="Default"/>
              <w:rPr>
                <w:rFonts w:ascii="Arial" w:hAnsi="Arial" w:cs="Arial"/>
                <w:sz w:val="22"/>
                <w:szCs w:val="22"/>
              </w:rPr>
            </w:pPr>
          </w:p>
        </w:tc>
        <w:tc>
          <w:tcPr>
            <w:tcW w:w="6480" w:type="dxa"/>
            <w:tcBorders>
              <w:top w:val="none" w:sz="6" w:space="0" w:color="auto"/>
              <w:left w:val="none" w:sz="6" w:space="0" w:color="auto"/>
              <w:bottom w:val="none" w:sz="6" w:space="0" w:color="auto"/>
              <w:right w:val="none" w:sz="6" w:space="0" w:color="auto"/>
            </w:tcBorders>
          </w:tcPr>
          <w:p w14:paraId="45BF4316" w14:textId="77777777" w:rsidR="009B2627" w:rsidRPr="009B2627" w:rsidRDefault="009B2627">
            <w:pPr>
              <w:pStyle w:val="Default"/>
              <w:rPr>
                <w:rFonts w:ascii="Arial" w:hAnsi="Arial" w:cs="Arial"/>
                <w:color w:val="auto"/>
                <w:sz w:val="22"/>
                <w:szCs w:val="22"/>
              </w:rPr>
            </w:pPr>
          </w:p>
          <w:p w14:paraId="77209293"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Unfit for employment</w:t>
            </w:r>
          </w:p>
          <w:p w14:paraId="557D7A48" w14:textId="7325404C" w:rsidR="009B2627" w:rsidRPr="009B2627" w:rsidRDefault="009B2627" w:rsidP="009B2627">
            <w:pPr>
              <w:pStyle w:val="Default"/>
              <w:ind w:left="720"/>
              <w:rPr>
                <w:rFonts w:ascii="Arial" w:hAnsi="Arial" w:cs="Arial"/>
                <w:sz w:val="22"/>
                <w:szCs w:val="22"/>
              </w:rPr>
            </w:pPr>
            <w:r w:rsidRPr="009B2627">
              <w:rPr>
                <w:rFonts w:ascii="Arial" w:hAnsi="Arial" w:cs="Arial"/>
                <w:sz w:val="22"/>
                <w:szCs w:val="22"/>
              </w:rPr>
              <w:t xml:space="preserve"> o Receiving temporary or permanent disability benefits from the government or a private source </w:t>
            </w:r>
          </w:p>
          <w:p w14:paraId="49C90D73" w14:textId="77777777" w:rsidR="009B2627" w:rsidRPr="009B2627" w:rsidRDefault="009B2627" w:rsidP="009B2627">
            <w:pPr>
              <w:pStyle w:val="Default"/>
              <w:ind w:left="720"/>
              <w:rPr>
                <w:rFonts w:ascii="Arial" w:hAnsi="Arial" w:cs="Arial"/>
                <w:sz w:val="22"/>
                <w:szCs w:val="22"/>
              </w:rPr>
            </w:pPr>
            <w:r w:rsidRPr="009B2627">
              <w:rPr>
                <w:rFonts w:ascii="Arial" w:hAnsi="Arial" w:cs="Arial"/>
                <w:sz w:val="22"/>
                <w:szCs w:val="22"/>
              </w:rPr>
              <w:t xml:space="preserve">o Mentally or physically unable to work (as determined by the IM or FSET agency) </w:t>
            </w:r>
          </w:p>
          <w:p w14:paraId="4115C0D4" w14:textId="77777777" w:rsidR="009B2627" w:rsidRPr="009B2627" w:rsidRDefault="009B2627" w:rsidP="009B2627">
            <w:pPr>
              <w:pStyle w:val="Default"/>
              <w:rPr>
                <w:rFonts w:ascii="Arial" w:hAnsi="Arial" w:cs="Arial"/>
                <w:sz w:val="22"/>
                <w:szCs w:val="22"/>
              </w:rPr>
            </w:pPr>
          </w:p>
          <w:p w14:paraId="7A936CDD"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Complying with Wisconsin Works (W-2) program requirements </w:t>
            </w:r>
          </w:p>
          <w:p w14:paraId="04C4510D"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The primary caregiver of a dependent child younger than six years old (whether the child lives in the home or out of the home) </w:t>
            </w:r>
          </w:p>
          <w:p w14:paraId="7A660F73"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The primary caregiver of a person who cannot care for themself (whether the person lives in the home or out of the home) </w:t>
            </w:r>
          </w:p>
          <w:p w14:paraId="386BA3AB"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Receives (or has applied for) Unemployment Compensation </w:t>
            </w:r>
          </w:p>
          <w:p w14:paraId="14729863"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Regularly participates in an alcohol or other drug abuse (AODA) treatment or rehabilitation program </w:t>
            </w:r>
          </w:p>
          <w:p w14:paraId="0B4CC976"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Working 30 or more hours per week or earning wages equivalent to 30 or more hours per week at the federal minimum wage </w:t>
            </w:r>
          </w:p>
          <w:p w14:paraId="2C557848"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Enrolled at least half-time in any recognized school, training program, or institution of higher education. This encompasses:</w:t>
            </w:r>
          </w:p>
          <w:p w14:paraId="1BD96FE3" w14:textId="37A4120E" w:rsidR="009B2627" w:rsidRPr="009B2627" w:rsidRDefault="009B2627" w:rsidP="009B2627">
            <w:pPr>
              <w:pStyle w:val="Default"/>
              <w:ind w:left="720"/>
              <w:rPr>
                <w:rFonts w:ascii="Arial" w:hAnsi="Arial" w:cs="Arial"/>
                <w:sz w:val="22"/>
                <w:szCs w:val="22"/>
              </w:rPr>
            </w:pPr>
            <w:r w:rsidRPr="009B2627">
              <w:rPr>
                <w:rFonts w:ascii="Arial" w:hAnsi="Arial" w:cs="Arial"/>
                <w:sz w:val="22"/>
                <w:szCs w:val="22"/>
              </w:rPr>
              <w:t xml:space="preserve"> o A student of higher education who is otherwise eligible for FoodShare </w:t>
            </w:r>
          </w:p>
          <w:p w14:paraId="7FA61DE5" w14:textId="77777777" w:rsidR="009B2627" w:rsidRPr="009B2627" w:rsidRDefault="009B2627" w:rsidP="009B2627">
            <w:pPr>
              <w:pStyle w:val="Default"/>
              <w:ind w:left="720"/>
              <w:rPr>
                <w:rFonts w:ascii="Arial" w:hAnsi="Arial" w:cs="Arial"/>
                <w:sz w:val="22"/>
                <w:szCs w:val="22"/>
              </w:rPr>
            </w:pPr>
            <w:r w:rsidRPr="009B2627">
              <w:rPr>
                <w:rFonts w:ascii="Arial" w:hAnsi="Arial" w:cs="Arial"/>
                <w:sz w:val="22"/>
                <w:szCs w:val="22"/>
              </w:rPr>
              <w:t xml:space="preserve">o </w:t>
            </w:r>
            <w:proofErr w:type="gramStart"/>
            <w:r w:rsidRPr="009B2627">
              <w:rPr>
                <w:rFonts w:ascii="Arial" w:hAnsi="Arial" w:cs="Arial"/>
                <w:sz w:val="22"/>
                <w:szCs w:val="22"/>
              </w:rPr>
              <w:t>An</w:t>
            </w:r>
            <w:proofErr w:type="gramEnd"/>
            <w:r w:rsidRPr="009B2627">
              <w:rPr>
                <w:rFonts w:ascii="Arial" w:hAnsi="Arial" w:cs="Arial"/>
                <w:sz w:val="22"/>
                <w:szCs w:val="22"/>
              </w:rPr>
              <w:t xml:space="preserve"> 18-year-old (or older) student enrolled in high school at least half-time </w:t>
            </w:r>
          </w:p>
          <w:p w14:paraId="22D5D081" w14:textId="77777777" w:rsidR="009B2627" w:rsidRPr="009B2627" w:rsidRDefault="009B2627" w:rsidP="009B2627">
            <w:pPr>
              <w:pStyle w:val="Default"/>
              <w:rPr>
                <w:rFonts w:ascii="Arial" w:hAnsi="Arial" w:cs="Arial"/>
                <w:sz w:val="22"/>
                <w:szCs w:val="22"/>
              </w:rPr>
            </w:pPr>
          </w:p>
          <w:p w14:paraId="7FACB781" w14:textId="77777777" w:rsidR="009B2627" w:rsidRPr="009B2627" w:rsidRDefault="009B2627">
            <w:pPr>
              <w:pStyle w:val="Default"/>
              <w:rPr>
                <w:rFonts w:ascii="Arial" w:hAnsi="Arial" w:cs="Arial"/>
                <w:sz w:val="22"/>
                <w:szCs w:val="22"/>
              </w:rPr>
            </w:pPr>
          </w:p>
        </w:tc>
        <w:tc>
          <w:tcPr>
            <w:tcW w:w="4230" w:type="dxa"/>
            <w:tcBorders>
              <w:top w:val="none" w:sz="6" w:space="0" w:color="auto"/>
              <w:left w:val="none" w:sz="6" w:space="0" w:color="auto"/>
              <w:bottom w:val="none" w:sz="6" w:space="0" w:color="auto"/>
            </w:tcBorders>
          </w:tcPr>
          <w:p w14:paraId="2008DD7B" w14:textId="77777777" w:rsidR="009B2627" w:rsidRPr="009B2627" w:rsidRDefault="009B2627">
            <w:pPr>
              <w:pStyle w:val="Default"/>
              <w:rPr>
                <w:rFonts w:ascii="Arial" w:hAnsi="Arial" w:cs="Arial"/>
                <w:color w:val="auto"/>
                <w:sz w:val="22"/>
                <w:szCs w:val="22"/>
              </w:rPr>
            </w:pPr>
          </w:p>
          <w:p w14:paraId="0F2576DA"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Under age 18 or age 53 and older </w:t>
            </w:r>
          </w:p>
          <w:p w14:paraId="2B4D4165"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Residing in a food unit with a child under age 18 </w:t>
            </w:r>
          </w:p>
          <w:p w14:paraId="4DD27C02"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Pregnant </w:t>
            </w:r>
          </w:p>
          <w:p w14:paraId="1EEC3B09" w14:textId="10B10BFA"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w:t>
            </w:r>
            <w:r w:rsidRPr="009B2627">
              <w:rPr>
                <w:rFonts w:ascii="Arial" w:hAnsi="Arial" w:cs="Arial"/>
                <w:sz w:val="22"/>
                <w:szCs w:val="22"/>
              </w:rPr>
              <w:t>Veteran</w:t>
            </w:r>
            <w:r w:rsidRPr="009B2627">
              <w:rPr>
                <w:rFonts w:ascii="Arial" w:hAnsi="Arial" w:cs="Arial"/>
                <w:sz w:val="22"/>
                <w:szCs w:val="22"/>
              </w:rPr>
              <w:t xml:space="preserve"> </w:t>
            </w:r>
          </w:p>
          <w:p w14:paraId="67A187BB"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Experiencing Homelessness </w:t>
            </w:r>
          </w:p>
          <w:p w14:paraId="3AE10B5E" w14:textId="77777777" w:rsidR="009B2627" w:rsidRPr="009B2627" w:rsidRDefault="009B2627" w:rsidP="009B2627">
            <w:pPr>
              <w:pStyle w:val="Default"/>
              <w:rPr>
                <w:rFonts w:ascii="Arial" w:hAnsi="Arial" w:cs="Arial"/>
                <w:sz w:val="22"/>
                <w:szCs w:val="22"/>
              </w:rPr>
            </w:pPr>
            <w:r w:rsidRPr="009B2627">
              <w:rPr>
                <w:rFonts w:ascii="Arial" w:hAnsi="Arial" w:cs="Arial"/>
                <w:sz w:val="22"/>
                <w:szCs w:val="22"/>
              </w:rPr>
              <w:t xml:space="preserve">• Former Foster Care Youth – Defined for FoodShare as members who were in foster care when they turned 18 and are younger than 25 years of age </w:t>
            </w:r>
          </w:p>
          <w:p w14:paraId="62F3F6BC" w14:textId="77777777" w:rsidR="009B2627" w:rsidRPr="009B2627" w:rsidRDefault="009B2627">
            <w:pPr>
              <w:pStyle w:val="Default"/>
              <w:numPr>
                <w:ilvl w:val="1"/>
                <w:numId w:val="3"/>
              </w:numPr>
              <w:rPr>
                <w:rFonts w:ascii="Arial" w:hAnsi="Arial" w:cs="Arial"/>
                <w:sz w:val="22"/>
                <w:szCs w:val="22"/>
              </w:rPr>
            </w:pPr>
            <w:r w:rsidRPr="009B2627">
              <w:rPr>
                <w:rFonts w:ascii="Arial" w:hAnsi="Arial" w:cs="Arial"/>
                <w:sz w:val="22"/>
                <w:szCs w:val="22"/>
              </w:rPr>
              <w:t>• Unfit for employment</w:t>
            </w:r>
          </w:p>
          <w:p w14:paraId="667DE758" w14:textId="65F429C9" w:rsidR="009B2627" w:rsidRPr="009B2627" w:rsidRDefault="009B2627" w:rsidP="009B2627">
            <w:pPr>
              <w:pStyle w:val="Default"/>
              <w:numPr>
                <w:ilvl w:val="2"/>
                <w:numId w:val="3"/>
              </w:numPr>
              <w:rPr>
                <w:rFonts w:ascii="Arial" w:hAnsi="Arial" w:cs="Arial"/>
                <w:sz w:val="22"/>
                <w:szCs w:val="22"/>
              </w:rPr>
            </w:pPr>
            <w:r w:rsidRPr="009B2627">
              <w:rPr>
                <w:rFonts w:ascii="Arial" w:hAnsi="Arial" w:cs="Arial"/>
                <w:sz w:val="22"/>
                <w:szCs w:val="22"/>
              </w:rPr>
              <w:t xml:space="preserve"> o Displaying mental instability, combativeness, or other mental health issues </w:t>
            </w:r>
          </w:p>
          <w:p w14:paraId="0720FEC7" w14:textId="77777777" w:rsidR="009B2627" w:rsidRPr="009B2627" w:rsidRDefault="009B2627">
            <w:pPr>
              <w:pStyle w:val="Default"/>
              <w:numPr>
                <w:ilvl w:val="1"/>
                <w:numId w:val="3"/>
              </w:numPr>
              <w:rPr>
                <w:rFonts w:ascii="Arial" w:hAnsi="Arial" w:cs="Arial"/>
                <w:sz w:val="22"/>
                <w:szCs w:val="22"/>
              </w:rPr>
            </w:pPr>
          </w:p>
          <w:p w14:paraId="17DAC9AC" w14:textId="77777777" w:rsidR="009B2627" w:rsidRPr="009B2627" w:rsidRDefault="009B2627">
            <w:pPr>
              <w:pStyle w:val="Default"/>
              <w:rPr>
                <w:rFonts w:ascii="Arial" w:hAnsi="Arial" w:cs="Arial"/>
                <w:sz w:val="22"/>
                <w:szCs w:val="22"/>
              </w:rPr>
            </w:pPr>
          </w:p>
        </w:tc>
      </w:tr>
    </w:tbl>
    <w:p w14:paraId="5320B8C0" w14:textId="77777777" w:rsidR="00DE0EBC" w:rsidRDefault="009B2627"/>
    <w:tbl>
      <w:tblPr>
        <w:tblW w:w="14670" w:type="dxa"/>
        <w:tblInd w:w="-78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46"/>
        <w:gridCol w:w="7024"/>
      </w:tblGrid>
      <w:tr w:rsidR="009B2627" w:rsidRPr="009B2627" w14:paraId="59568C69" w14:textId="77777777" w:rsidTr="009B2627">
        <w:tblPrEx>
          <w:tblCellMar>
            <w:top w:w="0" w:type="dxa"/>
            <w:bottom w:w="0" w:type="dxa"/>
          </w:tblCellMar>
        </w:tblPrEx>
        <w:trPr>
          <w:trHeight w:val="248"/>
        </w:trPr>
        <w:tc>
          <w:tcPr>
            <w:tcW w:w="7646" w:type="dxa"/>
            <w:tcBorders>
              <w:top w:val="none" w:sz="6" w:space="0" w:color="auto"/>
              <w:bottom w:val="none" w:sz="6" w:space="0" w:color="auto"/>
              <w:right w:val="none" w:sz="6" w:space="0" w:color="auto"/>
            </w:tcBorders>
          </w:tcPr>
          <w:p w14:paraId="6AA58073"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Work Registration Requirements FoodShare Handbook 3.16.1.3 </w:t>
            </w:r>
          </w:p>
        </w:tc>
        <w:tc>
          <w:tcPr>
            <w:tcW w:w="7024" w:type="dxa"/>
            <w:tcBorders>
              <w:top w:val="none" w:sz="6" w:space="0" w:color="auto"/>
              <w:left w:val="none" w:sz="6" w:space="0" w:color="auto"/>
              <w:bottom w:val="none" w:sz="6" w:space="0" w:color="auto"/>
            </w:tcBorders>
          </w:tcPr>
          <w:p w14:paraId="6A3DA101"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ABAWD Requirement FoodShare Handbook 3.17.1.7 </w:t>
            </w:r>
          </w:p>
        </w:tc>
      </w:tr>
      <w:tr w:rsidR="009B2627" w:rsidRPr="009B2627" w14:paraId="16E96AFB" w14:textId="77777777" w:rsidTr="009B2627">
        <w:tblPrEx>
          <w:tblCellMar>
            <w:top w:w="0" w:type="dxa"/>
            <w:bottom w:w="0" w:type="dxa"/>
          </w:tblCellMar>
        </w:tblPrEx>
        <w:trPr>
          <w:trHeight w:val="4055"/>
        </w:trPr>
        <w:tc>
          <w:tcPr>
            <w:tcW w:w="7646" w:type="dxa"/>
            <w:tcBorders>
              <w:top w:val="none" w:sz="6" w:space="0" w:color="auto"/>
              <w:bottom w:val="none" w:sz="6" w:space="0" w:color="auto"/>
              <w:right w:val="none" w:sz="6" w:space="0" w:color="auto"/>
            </w:tcBorders>
          </w:tcPr>
          <w:p w14:paraId="68558B4F" w14:textId="77777777" w:rsidR="009B2627" w:rsidRPr="009B2627" w:rsidRDefault="009B2627" w:rsidP="009B2627">
            <w:pPr>
              <w:autoSpaceDE w:val="0"/>
              <w:autoSpaceDN w:val="0"/>
              <w:adjustRightInd w:val="0"/>
              <w:spacing w:after="0" w:line="240" w:lineRule="auto"/>
              <w:rPr>
                <w:rFonts w:ascii="Arial" w:hAnsi="Arial" w:cs="Arial"/>
                <w:kern w:val="0"/>
                <w:sz w:val="24"/>
                <w:szCs w:val="24"/>
              </w:rPr>
            </w:pPr>
          </w:p>
          <w:p w14:paraId="34CE3682" w14:textId="305251E0" w:rsidR="009B2627" w:rsidRPr="009B2627" w:rsidRDefault="009B2627" w:rsidP="009B2627">
            <w:pPr>
              <w:pStyle w:val="ListParagraph"/>
              <w:numPr>
                <w:ilvl w:val="0"/>
                <w:numId w:val="6"/>
              </w:num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Work Registration </w:t>
            </w:r>
            <w:r w:rsidRPr="009B2627">
              <w:rPr>
                <w:rFonts w:ascii="Arial" w:hAnsi="Arial" w:cs="Arial"/>
                <w:color w:val="000000"/>
                <w:kern w:val="0"/>
              </w:rPr>
              <w:t xml:space="preserve">– Household members who do not meet the criteria for an exemption must register for work. An applicant or member who signs the FoodShare application or renewal registers all food unit members subject to the work registration requirements for work. </w:t>
            </w:r>
          </w:p>
          <w:p w14:paraId="660DE6C6"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p>
          <w:p w14:paraId="3E5B3A0F" w14:textId="193BBCA1" w:rsidR="009B2627" w:rsidRPr="009B2627" w:rsidRDefault="009B2627" w:rsidP="009B2627">
            <w:pPr>
              <w:pStyle w:val="ListParagraph"/>
              <w:numPr>
                <w:ilvl w:val="0"/>
                <w:numId w:val="4"/>
              </w:num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Sanctions for Non-compliance </w:t>
            </w:r>
            <w:r w:rsidRPr="009B2627">
              <w:rPr>
                <w:rFonts w:ascii="Arial" w:hAnsi="Arial" w:cs="Arial"/>
                <w:color w:val="000000"/>
                <w:kern w:val="0"/>
              </w:rPr>
              <w:t xml:space="preserve">– Applicants and members that are not exempt from the FoodShare work registration requirements may be sanctioned from receiving FoodShare if they voluntarily quit or reduce work effort without good cause, including: </w:t>
            </w:r>
          </w:p>
          <w:p w14:paraId="4CCF1C27" w14:textId="42CAACD5" w:rsidR="009B2627" w:rsidRPr="009B2627" w:rsidRDefault="009B2627" w:rsidP="009B2627">
            <w:pPr>
              <w:pStyle w:val="ListParagraph"/>
              <w:numPr>
                <w:ilvl w:val="1"/>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 xml:space="preserve">Turning down suitable employment </w:t>
            </w:r>
          </w:p>
          <w:p w14:paraId="4077E1AE" w14:textId="6579A55A" w:rsidR="009B2627" w:rsidRPr="009B2627" w:rsidRDefault="009B2627" w:rsidP="009B2627">
            <w:pPr>
              <w:pStyle w:val="ListParagraph"/>
              <w:numPr>
                <w:ilvl w:val="1"/>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 xml:space="preserve">Quit a job of 30 or more hours per week (or a job with earnings equivalent to 30 or more hours per week at federal minimum wage) </w:t>
            </w:r>
          </w:p>
          <w:p w14:paraId="52199E10" w14:textId="7B912201" w:rsidR="009B2627" w:rsidRPr="009B2627" w:rsidRDefault="009B2627" w:rsidP="009B2627">
            <w:pPr>
              <w:pStyle w:val="ListParagraph"/>
              <w:numPr>
                <w:ilvl w:val="1"/>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 xml:space="preserve">Reducing work hours below 30 hours a week </w:t>
            </w:r>
          </w:p>
          <w:p w14:paraId="3BD19B16" w14:textId="27BD009B" w:rsidR="009B2627" w:rsidRPr="009B2627" w:rsidRDefault="009B2627" w:rsidP="009B2627">
            <w:pPr>
              <w:pStyle w:val="ListParagraph"/>
              <w:numPr>
                <w:ilvl w:val="1"/>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 xml:space="preserve">Previously participating in a W-2 placement that has closed for failing to meet the W-2 work </w:t>
            </w:r>
            <w:proofErr w:type="gramStart"/>
            <w:r w:rsidRPr="009B2627">
              <w:rPr>
                <w:rFonts w:ascii="Arial" w:hAnsi="Arial" w:cs="Arial"/>
                <w:color w:val="000000"/>
                <w:kern w:val="0"/>
              </w:rPr>
              <w:t>requirement</w:t>
            </w:r>
            <w:proofErr w:type="gramEnd"/>
            <w:r w:rsidRPr="009B2627">
              <w:rPr>
                <w:rFonts w:ascii="Arial" w:hAnsi="Arial" w:cs="Arial"/>
                <w:color w:val="000000"/>
                <w:kern w:val="0"/>
              </w:rPr>
              <w:t xml:space="preserve"> </w:t>
            </w:r>
          </w:p>
          <w:p w14:paraId="73377B92" w14:textId="5A60707B" w:rsidR="009B2627" w:rsidRPr="009B2627" w:rsidRDefault="009B2627" w:rsidP="009B2627">
            <w:pPr>
              <w:pStyle w:val="ListParagraph"/>
              <w:numPr>
                <w:ilvl w:val="1"/>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 xml:space="preserve">Applying for or receiving unemployment and failing to meet the unemployment work </w:t>
            </w:r>
            <w:proofErr w:type="gramStart"/>
            <w:r w:rsidRPr="009B2627">
              <w:rPr>
                <w:rFonts w:ascii="Arial" w:hAnsi="Arial" w:cs="Arial"/>
                <w:color w:val="000000"/>
                <w:kern w:val="0"/>
              </w:rPr>
              <w:t>requirement</w:t>
            </w:r>
            <w:proofErr w:type="gramEnd"/>
            <w:r w:rsidRPr="009B2627">
              <w:rPr>
                <w:rFonts w:ascii="Arial" w:hAnsi="Arial" w:cs="Arial"/>
                <w:color w:val="000000"/>
                <w:kern w:val="0"/>
              </w:rPr>
              <w:t xml:space="preserve"> </w:t>
            </w:r>
          </w:p>
          <w:p w14:paraId="328C956A"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p>
          <w:p w14:paraId="564CC345" w14:textId="4F47B6B7" w:rsidR="009B2627" w:rsidRPr="009B2627" w:rsidRDefault="009B2627" w:rsidP="009B2627">
            <w:pPr>
              <w:pStyle w:val="ListParagraph"/>
              <w:numPr>
                <w:ilvl w:val="0"/>
                <w:numId w:val="4"/>
              </w:num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Sanction period at application </w:t>
            </w:r>
            <w:r w:rsidRPr="009B2627">
              <w:rPr>
                <w:rFonts w:ascii="Arial" w:hAnsi="Arial" w:cs="Arial"/>
                <w:color w:val="000000"/>
                <w:kern w:val="0"/>
              </w:rPr>
              <w:t xml:space="preserve">– if sanction event occurred within 30 days of the filing date without Good Cause, the individual is sanctioned for 30 days from the filing date. </w:t>
            </w:r>
          </w:p>
          <w:p w14:paraId="52481ACD" w14:textId="560DC8A8" w:rsidR="009B2627" w:rsidRPr="009B2627" w:rsidRDefault="009B2627" w:rsidP="009B2627">
            <w:pPr>
              <w:pStyle w:val="ListParagraph"/>
              <w:numPr>
                <w:ilvl w:val="1"/>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 xml:space="preserve">Sanction period for ongoing – </w:t>
            </w:r>
          </w:p>
          <w:p w14:paraId="33390FC7" w14:textId="6A3C2C0B" w:rsidR="009B2627" w:rsidRPr="009B2627" w:rsidRDefault="009B2627" w:rsidP="009B2627">
            <w:pPr>
              <w:pStyle w:val="ListParagraph"/>
              <w:numPr>
                <w:ilvl w:val="2"/>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1</w:t>
            </w:r>
            <w:r w:rsidRPr="009B2627">
              <w:rPr>
                <w:rFonts w:ascii="Arial" w:hAnsi="Arial" w:cs="Arial"/>
                <w:color w:val="000000"/>
                <w:kern w:val="0"/>
                <w:sz w:val="14"/>
                <w:szCs w:val="14"/>
              </w:rPr>
              <w:t xml:space="preserve">st </w:t>
            </w:r>
            <w:r w:rsidRPr="009B2627">
              <w:rPr>
                <w:rFonts w:ascii="Arial" w:hAnsi="Arial" w:cs="Arial"/>
                <w:color w:val="000000"/>
                <w:kern w:val="0"/>
              </w:rPr>
              <w:t xml:space="preserve">occurrence – one month </w:t>
            </w:r>
          </w:p>
          <w:p w14:paraId="2F1F0EF3" w14:textId="190B1031" w:rsidR="009B2627" w:rsidRPr="009B2627" w:rsidRDefault="009B2627" w:rsidP="009B2627">
            <w:pPr>
              <w:pStyle w:val="ListParagraph"/>
              <w:numPr>
                <w:ilvl w:val="2"/>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2</w:t>
            </w:r>
            <w:r w:rsidRPr="009B2627">
              <w:rPr>
                <w:rFonts w:ascii="Arial" w:hAnsi="Arial" w:cs="Arial"/>
                <w:color w:val="000000"/>
                <w:kern w:val="0"/>
                <w:sz w:val="14"/>
                <w:szCs w:val="14"/>
              </w:rPr>
              <w:t xml:space="preserve">nd </w:t>
            </w:r>
            <w:r w:rsidRPr="009B2627">
              <w:rPr>
                <w:rFonts w:ascii="Arial" w:hAnsi="Arial" w:cs="Arial"/>
                <w:color w:val="000000"/>
                <w:kern w:val="0"/>
              </w:rPr>
              <w:t xml:space="preserve">occurrence – three months </w:t>
            </w:r>
          </w:p>
          <w:p w14:paraId="558D48F5" w14:textId="33EDF9B5" w:rsidR="009B2627" w:rsidRPr="009B2627" w:rsidRDefault="009B2627" w:rsidP="009B2627">
            <w:pPr>
              <w:pStyle w:val="ListParagraph"/>
              <w:numPr>
                <w:ilvl w:val="2"/>
                <w:numId w:val="4"/>
              </w:numPr>
              <w:autoSpaceDE w:val="0"/>
              <w:autoSpaceDN w:val="0"/>
              <w:adjustRightInd w:val="0"/>
              <w:spacing w:after="0" w:line="240" w:lineRule="auto"/>
              <w:rPr>
                <w:rFonts w:ascii="Arial" w:hAnsi="Arial" w:cs="Arial"/>
                <w:color w:val="000000"/>
                <w:kern w:val="0"/>
              </w:rPr>
            </w:pPr>
            <w:r w:rsidRPr="009B2627">
              <w:rPr>
                <w:rFonts w:ascii="Arial" w:hAnsi="Arial" w:cs="Arial"/>
                <w:color w:val="000000"/>
                <w:kern w:val="0"/>
              </w:rPr>
              <w:t>3</w:t>
            </w:r>
            <w:r w:rsidRPr="009B2627">
              <w:rPr>
                <w:rFonts w:ascii="Arial" w:hAnsi="Arial" w:cs="Arial"/>
                <w:color w:val="000000"/>
                <w:kern w:val="0"/>
                <w:sz w:val="14"/>
                <w:szCs w:val="14"/>
              </w:rPr>
              <w:t xml:space="preserve">rd </w:t>
            </w:r>
            <w:r w:rsidRPr="009B2627">
              <w:rPr>
                <w:rFonts w:ascii="Arial" w:hAnsi="Arial" w:cs="Arial"/>
                <w:color w:val="000000"/>
                <w:kern w:val="0"/>
              </w:rPr>
              <w:t xml:space="preserve">occurrence – six months </w:t>
            </w:r>
          </w:p>
          <w:p w14:paraId="2834C030"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p>
        </w:tc>
        <w:tc>
          <w:tcPr>
            <w:tcW w:w="7024" w:type="dxa"/>
            <w:tcBorders>
              <w:top w:val="none" w:sz="6" w:space="0" w:color="auto"/>
              <w:left w:val="none" w:sz="6" w:space="0" w:color="auto"/>
              <w:bottom w:val="none" w:sz="6" w:space="0" w:color="auto"/>
            </w:tcBorders>
          </w:tcPr>
          <w:p w14:paraId="0ABDBB78" w14:textId="77777777" w:rsidR="009B2627" w:rsidRPr="009B2627" w:rsidRDefault="009B2627" w:rsidP="009B2627">
            <w:pPr>
              <w:autoSpaceDE w:val="0"/>
              <w:autoSpaceDN w:val="0"/>
              <w:adjustRightInd w:val="0"/>
              <w:spacing w:after="0" w:line="240" w:lineRule="auto"/>
              <w:rPr>
                <w:rFonts w:ascii="Arial" w:hAnsi="Arial" w:cs="Arial"/>
                <w:kern w:val="0"/>
                <w:sz w:val="24"/>
                <w:szCs w:val="24"/>
              </w:rPr>
            </w:pPr>
          </w:p>
          <w:p w14:paraId="2BCDAFC1" w14:textId="7B0B702D" w:rsidR="009B2627" w:rsidRPr="009B2627" w:rsidRDefault="009B2627" w:rsidP="009B2627">
            <w:pPr>
              <w:pStyle w:val="ListParagraph"/>
              <w:numPr>
                <w:ilvl w:val="0"/>
                <w:numId w:val="4"/>
              </w:num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Work Requirement </w:t>
            </w:r>
            <w:r w:rsidRPr="009B2627">
              <w:rPr>
                <w:rFonts w:ascii="Arial" w:hAnsi="Arial" w:cs="Arial"/>
                <w:color w:val="000000"/>
                <w:kern w:val="0"/>
              </w:rPr>
              <w:t xml:space="preserve">– ABAWDs meet the ABAWD work requirement if working and/or participating and complying with an allowable work program at least 80 hours a month or participating and complying with the requirements of a workfare </w:t>
            </w:r>
            <w:r w:rsidRPr="009B2627">
              <w:rPr>
                <w:rFonts w:ascii="Arial" w:hAnsi="Arial" w:cs="Arial"/>
                <w:color w:val="000000"/>
                <w:kern w:val="0"/>
              </w:rPr>
              <w:t>program.</w:t>
            </w:r>
            <w:r w:rsidRPr="009B2627">
              <w:rPr>
                <w:rFonts w:ascii="Arial" w:hAnsi="Arial" w:cs="Arial"/>
                <w:color w:val="000000"/>
                <w:kern w:val="0"/>
              </w:rPr>
              <w:t xml:space="preserve"> </w:t>
            </w:r>
          </w:p>
          <w:p w14:paraId="0CDC4BB2"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p>
          <w:p w14:paraId="7A509133" w14:textId="5B67A885" w:rsidR="009B2627" w:rsidRPr="009B2627" w:rsidRDefault="009B2627" w:rsidP="009B2627">
            <w:pPr>
              <w:pStyle w:val="ListParagraph"/>
              <w:numPr>
                <w:ilvl w:val="0"/>
                <w:numId w:val="4"/>
              </w:numPr>
              <w:autoSpaceDE w:val="0"/>
              <w:autoSpaceDN w:val="0"/>
              <w:adjustRightInd w:val="0"/>
              <w:spacing w:after="0" w:line="240" w:lineRule="auto"/>
              <w:rPr>
                <w:rFonts w:ascii="Arial" w:hAnsi="Arial" w:cs="Arial"/>
                <w:color w:val="000000"/>
                <w:kern w:val="0"/>
              </w:rPr>
            </w:pPr>
            <w:r w:rsidRPr="009B2627">
              <w:rPr>
                <w:rFonts w:ascii="Arial" w:hAnsi="Arial" w:cs="Arial"/>
                <w:b/>
                <w:bCs/>
                <w:color w:val="000000"/>
                <w:kern w:val="0"/>
              </w:rPr>
              <w:t xml:space="preserve">Defining work </w:t>
            </w:r>
            <w:r w:rsidRPr="009B2627">
              <w:rPr>
                <w:rFonts w:ascii="Arial" w:hAnsi="Arial" w:cs="Arial"/>
                <w:color w:val="000000"/>
                <w:kern w:val="0"/>
              </w:rPr>
              <w:t xml:space="preserve">– Work is defined as work in exchange for money, work in exchange for goods or services (in-kind), unpaid work (volunteering), self-employment, or any combination of the previously </w:t>
            </w:r>
            <w:proofErr w:type="gramStart"/>
            <w:r w:rsidRPr="009B2627">
              <w:rPr>
                <w:rFonts w:ascii="Arial" w:hAnsi="Arial" w:cs="Arial"/>
                <w:color w:val="000000"/>
                <w:kern w:val="0"/>
              </w:rPr>
              <w:t>mentioned</w:t>
            </w:r>
            <w:proofErr w:type="gramEnd"/>
            <w:r w:rsidRPr="009B2627">
              <w:rPr>
                <w:rFonts w:ascii="Arial" w:hAnsi="Arial" w:cs="Arial"/>
                <w:color w:val="000000"/>
                <w:kern w:val="0"/>
              </w:rPr>
              <w:t xml:space="preserve"> </w:t>
            </w:r>
          </w:p>
          <w:p w14:paraId="7FDF51CD"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p>
          <w:p w14:paraId="12EC8650" w14:textId="77777777" w:rsidR="009B2627" w:rsidRPr="009B2627" w:rsidRDefault="009B2627" w:rsidP="009B2627">
            <w:pPr>
              <w:autoSpaceDE w:val="0"/>
              <w:autoSpaceDN w:val="0"/>
              <w:adjustRightInd w:val="0"/>
              <w:spacing w:after="0" w:line="240" w:lineRule="auto"/>
              <w:rPr>
                <w:rFonts w:ascii="Arial" w:hAnsi="Arial" w:cs="Arial"/>
                <w:color w:val="000000"/>
                <w:kern w:val="0"/>
              </w:rPr>
            </w:pPr>
          </w:p>
        </w:tc>
      </w:tr>
    </w:tbl>
    <w:p w14:paraId="5F1F4E1D" w14:textId="77777777" w:rsidR="009B2627" w:rsidRDefault="009B2627"/>
    <w:sectPr w:rsidR="009B2627" w:rsidSect="009B2627">
      <w:pgSz w:w="15840" w:h="12240" w:orient="landscape"/>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888"/>
    <w:multiLevelType w:val="hybridMultilevel"/>
    <w:tmpl w:val="30E8B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F3B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E504A4"/>
    <w:multiLevelType w:val="hybridMultilevel"/>
    <w:tmpl w:val="FFFFFFFF"/>
    <w:lvl w:ilvl="0" w:tplc="FFFFFFFF">
      <w:start w:val="1"/>
      <w:numFmt w:val="bullet"/>
      <w:lvlText w:val="•"/>
      <w:lvlJc w:val="left"/>
    </w:lvl>
    <w:lvl w:ilvl="1" w:tplc="3CA32E3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C010F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0216F3"/>
    <w:multiLevelType w:val="hybridMultilevel"/>
    <w:tmpl w:val="30AA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02D44"/>
    <w:multiLevelType w:val="hybridMultilevel"/>
    <w:tmpl w:val="8D0CA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3146720">
    <w:abstractNumId w:val="3"/>
  </w:num>
  <w:num w:numId="2" w16cid:durableId="764040725">
    <w:abstractNumId w:val="2"/>
  </w:num>
  <w:num w:numId="3" w16cid:durableId="706565532">
    <w:abstractNumId w:val="1"/>
  </w:num>
  <w:num w:numId="4" w16cid:durableId="76102686">
    <w:abstractNumId w:val="0"/>
  </w:num>
  <w:num w:numId="5" w16cid:durableId="277839029">
    <w:abstractNumId w:val="4"/>
  </w:num>
  <w:num w:numId="6" w16cid:durableId="2098944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27"/>
    <w:rsid w:val="0054702A"/>
    <w:rsid w:val="0055247F"/>
    <w:rsid w:val="00723089"/>
    <w:rsid w:val="009B2627"/>
    <w:rsid w:val="00BC3A4C"/>
    <w:rsid w:val="00D3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ECC0"/>
  <w15:chartTrackingRefBased/>
  <w15:docId w15:val="{51730384-676F-4877-B0E4-F073555B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627"/>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9B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0AD4-4086-43F3-BF28-43216470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1</cp:revision>
  <dcterms:created xsi:type="dcterms:W3CDTF">2023-09-06T15:26:00Z</dcterms:created>
  <dcterms:modified xsi:type="dcterms:W3CDTF">2023-09-06T15:36:00Z</dcterms:modified>
</cp:coreProperties>
</file>