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F1061" w14:textId="06AE9B6F" w:rsidR="00051CEB" w:rsidRDefault="00051CEB" w:rsidP="00051CEB">
      <w:pPr>
        <w:spacing w:line="259" w:lineRule="auto"/>
        <w:rPr>
          <w:rFonts w:cstheme="minorHAnsi"/>
          <w:b/>
          <w:bCs/>
          <w:u w:val="single"/>
        </w:rPr>
      </w:pPr>
      <w:r w:rsidRPr="007B76B5">
        <w:rPr>
          <w:rFonts w:cstheme="minorHAnsi"/>
          <w:b/>
          <w:bCs/>
          <w:u w:val="single"/>
        </w:rPr>
        <w:t>Operations Memo 2</w:t>
      </w:r>
      <w:r w:rsidR="00280569">
        <w:rPr>
          <w:rFonts w:cstheme="minorHAnsi"/>
          <w:b/>
          <w:bCs/>
          <w:u w:val="single"/>
        </w:rPr>
        <w:t>3</w:t>
      </w:r>
      <w:r w:rsidRPr="007B76B5">
        <w:rPr>
          <w:rFonts w:cstheme="minorHAnsi"/>
          <w:b/>
          <w:bCs/>
          <w:u w:val="single"/>
        </w:rPr>
        <w:t>-</w:t>
      </w:r>
      <w:r w:rsidR="00280569">
        <w:rPr>
          <w:rFonts w:cstheme="minorHAnsi"/>
          <w:b/>
          <w:bCs/>
          <w:u w:val="single"/>
        </w:rPr>
        <w:t>45</w:t>
      </w:r>
    </w:p>
    <w:p w14:paraId="33659EB2" w14:textId="77B46204" w:rsidR="006E70D9" w:rsidRDefault="006E70D9" w:rsidP="00051CEB">
      <w:pPr>
        <w:spacing w:line="259" w:lineRule="auto"/>
      </w:pPr>
      <w:r>
        <w:t>Presented By: Kathy King</w:t>
      </w:r>
    </w:p>
    <w:p w14:paraId="6AD257DB" w14:textId="7EF0CB8C" w:rsidR="006E70D9" w:rsidRDefault="006E70D9" w:rsidP="00051CEB">
      <w:pPr>
        <w:spacing w:line="259" w:lineRule="auto"/>
      </w:pPr>
      <w:r>
        <w:t>Subject: 2024 Policy Changes for Counting Income and Allowing Deductions in Determining BadgerCare</w:t>
      </w:r>
      <w:r w:rsidR="002D1CC1">
        <w:t>+</w:t>
      </w:r>
      <w:r>
        <w:t xml:space="preserve"> Eligibility</w:t>
      </w:r>
    </w:p>
    <w:p w14:paraId="58ABC0EF" w14:textId="2B5F216B" w:rsidR="006E70D9" w:rsidRDefault="006E70D9" w:rsidP="00051CEB">
      <w:pPr>
        <w:spacing w:line="259" w:lineRule="auto"/>
      </w:pPr>
      <w:r>
        <w:t>Effective Date: January 1, 2024</w:t>
      </w:r>
    </w:p>
    <w:p w14:paraId="6D117419" w14:textId="77777777" w:rsidR="006E70D9" w:rsidRDefault="006E70D9" w:rsidP="00051CEB">
      <w:pPr>
        <w:spacing w:line="259" w:lineRule="auto"/>
      </w:pPr>
      <w:r>
        <w:t>The following policy changes are in response to the changes in federal law and IRS guidance.</w:t>
      </w:r>
    </w:p>
    <w:p w14:paraId="735970D3" w14:textId="2538882C" w:rsidR="006E70D9" w:rsidRDefault="006E70D9" w:rsidP="00F81071">
      <w:pPr>
        <w:pStyle w:val="ListParagraph"/>
        <w:numPr>
          <w:ilvl w:val="0"/>
          <w:numId w:val="2"/>
        </w:numPr>
        <w:spacing w:line="259" w:lineRule="auto"/>
      </w:pPr>
      <w:r>
        <w:t>Alimony, Spousal Support or Maintenance</w:t>
      </w:r>
      <w:r w:rsidR="00F81071">
        <w:t xml:space="preserve"> p</w:t>
      </w:r>
      <w:r>
        <w:t>ayments paid under a separation or divorce agreement completed on or after January 1, 2019, can no longer be claimed as a tax deduction for the payer. If the separation or divorce agreement was made prior to January 1, 2019, but modified on or after that date and if the agreement states that alimony, spousal support, or maintenance is not taxable, the payments made under the agreement cannot be claimed as a tax deduction.</w:t>
      </w:r>
    </w:p>
    <w:p w14:paraId="511D222D" w14:textId="77777777" w:rsidR="00F81071" w:rsidRDefault="00F81071" w:rsidP="00F81071">
      <w:pPr>
        <w:pStyle w:val="ListParagraph"/>
        <w:spacing w:line="259" w:lineRule="auto"/>
      </w:pPr>
    </w:p>
    <w:p w14:paraId="1C02C10A" w14:textId="3A57EE41" w:rsidR="00F81071" w:rsidRDefault="00F81071" w:rsidP="00F81071">
      <w:pPr>
        <w:pStyle w:val="ListParagraph"/>
        <w:numPr>
          <w:ilvl w:val="0"/>
          <w:numId w:val="2"/>
        </w:numPr>
        <w:spacing w:line="259" w:lineRule="auto"/>
      </w:pPr>
      <w:r>
        <w:t xml:space="preserve">Out-of-pocket </w:t>
      </w:r>
      <w:r w:rsidR="006E70D9">
        <w:t>Moving Expenses</w:t>
      </w:r>
      <w:r>
        <w:t xml:space="preserve"> </w:t>
      </w:r>
      <w:r w:rsidR="002922F9">
        <w:t xml:space="preserve">for a job-related move cannot be deducted unless the person is an </w:t>
      </w:r>
      <w:r>
        <w:t>active-duty</w:t>
      </w:r>
      <w:r w:rsidR="002922F9">
        <w:t xml:space="preserve"> member of the military who is ordered to move, and that move is a permanent change of station. </w:t>
      </w:r>
    </w:p>
    <w:p w14:paraId="1979E16F" w14:textId="77777777" w:rsidR="00F81071" w:rsidRDefault="00F81071" w:rsidP="00F81071">
      <w:pPr>
        <w:pStyle w:val="ListParagraph"/>
        <w:spacing w:line="259" w:lineRule="auto"/>
      </w:pPr>
    </w:p>
    <w:p w14:paraId="330262AD" w14:textId="5799159C" w:rsidR="002922F9" w:rsidRDefault="002922F9" w:rsidP="00F81071">
      <w:pPr>
        <w:pStyle w:val="ListParagraph"/>
        <w:numPr>
          <w:ilvl w:val="0"/>
          <w:numId w:val="2"/>
        </w:numPr>
        <w:spacing w:line="259" w:lineRule="auto"/>
      </w:pPr>
      <w:r>
        <w:t>Higher Education Expenses, such as tuition and amounts paid for books or fees, that are required to be paid to the institution as a condition of enrollment or attendance can no longer be claimed as a tax deduction.</w:t>
      </w:r>
    </w:p>
    <w:p w14:paraId="100C87DA" w14:textId="77777777" w:rsidR="00F81071" w:rsidRDefault="00F81071" w:rsidP="00F81071">
      <w:pPr>
        <w:pStyle w:val="ListParagraph"/>
        <w:spacing w:line="259" w:lineRule="auto"/>
      </w:pPr>
    </w:p>
    <w:p w14:paraId="7991557A" w14:textId="14885DF2" w:rsidR="006E70D9" w:rsidRPr="00F81071" w:rsidRDefault="00F81071" w:rsidP="00F81071">
      <w:pPr>
        <w:pStyle w:val="ListParagraph"/>
        <w:numPr>
          <w:ilvl w:val="0"/>
          <w:numId w:val="2"/>
        </w:numPr>
        <w:spacing w:line="259" w:lineRule="auto"/>
        <w:rPr>
          <w:rFonts w:cstheme="minorHAnsi"/>
        </w:rPr>
      </w:pPr>
      <w:r>
        <w:rPr>
          <w:rFonts w:cstheme="minorHAnsi"/>
        </w:rPr>
        <w:t xml:space="preserve">Any unused portion of a </w:t>
      </w:r>
      <w:r w:rsidR="002922F9" w:rsidRPr="00F81071">
        <w:rPr>
          <w:rFonts w:cstheme="minorHAnsi"/>
        </w:rPr>
        <w:t>Housing Allowances for Clergy Members</w:t>
      </w:r>
      <w:r>
        <w:rPr>
          <w:rFonts w:cstheme="minorHAnsi"/>
        </w:rPr>
        <w:t xml:space="preserve"> must be counted as income. </w:t>
      </w:r>
    </w:p>
    <w:p w14:paraId="4E43DBFB" w14:textId="0CD3BE32" w:rsidR="00F81071" w:rsidRPr="002922F9" w:rsidRDefault="00F81071" w:rsidP="00051CEB">
      <w:pPr>
        <w:spacing w:line="259" w:lineRule="auto"/>
        <w:rPr>
          <w:rFonts w:cstheme="minorHAnsi"/>
        </w:rPr>
      </w:pPr>
      <w:r>
        <w:t>The new policy for applications starts January 1, 2024 and for ongoing cases at the next reported income change or renewal that occurs on or after January 1, 2024, whichever occurs first.</w:t>
      </w:r>
    </w:p>
    <w:p w14:paraId="2B9DA422" w14:textId="77777777" w:rsidR="002922F9" w:rsidRDefault="002922F9" w:rsidP="00051CEB">
      <w:pPr>
        <w:spacing w:line="259" w:lineRule="auto"/>
        <w:rPr>
          <w:rFonts w:cstheme="minorHAnsi"/>
          <w:b/>
          <w:bCs/>
          <w:u w:val="single"/>
        </w:rPr>
      </w:pPr>
    </w:p>
    <w:p w14:paraId="546DE5FC" w14:textId="77777777" w:rsidR="00280569" w:rsidRPr="007B76B5" w:rsidRDefault="00280569" w:rsidP="00051CEB">
      <w:pPr>
        <w:spacing w:line="259" w:lineRule="auto"/>
        <w:rPr>
          <w:rFonts w:cstheme="minorHAnsi"/>
        </w:rPr>
      </w:pPr>
    </w:p>
    <w:sectPr w:rsidR="00280569" w:rsidRPr="007B76B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B98FE" w14:textId="77777777" w:rsidR="00331AEE" w:rsidRDefault="00331AEE" w:rsidP="00051CEB">
      <w:pPr>
        <w:spacing w:after="0" w:line="240" w:lineRule="auto"/>
      </w:pPr>
      <w:r>
        <w:separator/>
      </w:r>
    </w:p>
  </w:endnote>
  <w:endnote w:type="continuationSeparator" w:id="0">
    <w:p w14:paraId="0871CFE8" w14:textId="77777777" w:rsidR="00331AEE" w:rsidRDefault="00331AEE" w:rsidP="00051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52A96" w14:textId="77777777" w:rsidR="00331AEE" w:rsidRDefault="00331AEE" w:rsidP="00051CEB">
      <w:pPr>
        <w:spacing w:after="0" w:line="240" w:lineRule="auto"/>
      </w:pPr>
      <w:r>
        <w:separator/>
      </w:r>
    </w:p>
  </w:footnote>
  <w:footnote w:type="continuationSeparator" w:id="0">
    <w:p w14:paraId="17A0CA48" w14:textId="77777777" w:rsidR="00331AEE" w:rsidRDefault="00331AEE" w:rsidP="00051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1E18" w14:textId="6AAA0F8A" w:rsidR="00423FE8" w:rsidRDefault="00051CEB" w:rsidP="0048383F">
    <w:pPr>
      <w:pStyle w:val="Header"/>
      <w:rPr>
        <w:b/>
        <w:color w:val="767171" w:themeColor="background2" w:themeShade="80"/>
        <w:sz w:val="28"/>
        <w:szCs w:val="28"/>
      </w:rPr>
    </w:pPr>
    <w:r>
      <w:tab/>
    </w:r>
    <w:r w:rsidRPr="00051CEB">
      <w:rPr>
        <w:b/>
        <w:color w:val="767171" w:themeColor="background2" w:themeShade="80"/>
        <w:sz w:val="28"/>
        <w:szCs w:val="28"/>
      </w:rPr>
      <w:t xml:space="preserve">EST </w:t>
    </w:r>
    <w:r w:rsidR="00CB37A2">
      <w:rPr>
        <w:b/>
        <w:color w:val="767171" w:themeColor="background2" w:themeShade="80"/>
        <w:sz w:val="28"/>
        <w:szCs w:val="28"/>
      </w:rPr>
      <w:t>01/</w:t>
    </w:r>
    <w:r w:rsidR="001E6BF0">
      <w:rPr>
        <w:b/>
        <w:color w:val="767171" w:themeColor="background2" w:themeShade="80"/>
        <w:sz w:val="28"/>
        <w:szCs w:val="28"/>
      </w:rPr>
      <w:t>1</w:t>
    </w:r>
    <w:r w:rsidR="0048383F">
      <w:rPr>
        <w:b/>
        <w:color w:val="767171" w:themeColor="background2" w:themeShade="80"/>
        <w:sz w:val="28"/>
        <w:szCs w:val="28"/>
      </w:rPr>
      <w:t>1</w:t>
    </w:r>
    <w:r w:rsidR="00CB37A2">
      <w:rPr>
        <w:b/>
        <w:color w:val="767171" w:themeColor="background2" w:themeShade="80"/>
        <w:sz w:val="28"/>
        <w:szCs w:val="28"/>
      </w:rPr>
      <w:t>/202</w:t>
    </w:r>
    <w:r w:rsidR="0048383F">
      <w:rPr>
        <w:b/>
        <w:color w:val="767171" w:themeColor="background2" w:themeShade="80"/>
        <w:sz w:val="28"/>
        <w:szCs w:val="28"/>
      </w:rPr>
      <w:t>4</w:t>
    </w:r>
    <w:r w:rsidRPr="00051CEB">
      <w:rPr>
        <w:b/>
        <w:color w:val="767171" w:themeColor="background2" w:themeShade="80"/>
        <w:sz w:val="28"/>
        <w:szCs w:val="28"/>
      </w:rPr>
      <w:br/>
    </w:r>
    <w:r w:rsidRPr="00051CEB">
      <w:rPr>
        <w:b/>
        <w:color w:val="767171" w:themeColor="background2" w:themeShade="80"/>
        <w:sz w:val="28"/>
        <w:szCs w:val="28"/>
      </w:rPr>
      <w:tab/>
      <w:t xml:space="preserve">Ops Memo </w:t>
    </w:r>
    <w:r w:rsidR="00280569">
      <w:rPr>
        <w:b/>
        <w:color w:val="767171" w:themeColor="background2" w:themeShade="80"/>
        <w:sz w:val="28"/>
        <w:szCs w:val="28"/>
      </w:rPr>
      <w:t>23-45</w:t>
    </w:r>
  </w:p>
  <w:p w14:paraId="2417895F" w14:textId="77777777" w:rsidR="0048383F" w:rsidRDefault="0048383F" w:rsidP="0048383F">
    <w:pPr>
      <w:pStyle w:val="Header"/>
      <w:rPr>
        <w:b/>
        <w:color w:val="767171" w:themeColor="background2" w:themeShade="80"/>
        <w:sz w:val="28"/>
        <w:szCs w:val="28"/>
      </w:rPr>
    </w:pPr>
  </w:p>
  <w:p w14:paraId="62822F28" w14:textId="77777777" w:rsidR="0048383F" w:rsidRPr="007B76B5" w:rsidRDefault="0048383F" w:rsidP="0048383F">
    <w:pPr>
      <w:pStyle w:val="Header"/>
      <w:rPr>
        <w:b/>
        <w:color w:val="767171" w:themeColor="background2" w:themeShade="8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35381"/>
    <w:multiLevelType w:val="hybridMultilevel"/>
    <w:tmpl w:val="4966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2656D1"/>
    <w:multiLevelType w:val="hybridMultilevel"/>
    <w:tmpl w:val="D4C2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3021749">
    <w:abstractNumId w:val="1"/>
  </w:num>
  <w:num w:numId="2" w16cid:durableId="1738895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CEB"/>
    <w:rsid w:val="00051CEB"/>
    <w:rsid w:val="00197997"/>
    <w:rsid w:val="001E6BF0"/>
    <w:rsid w:val="00280569"/>
    <w:rsid w:val="002922F9"/>
    <w:rsid w:val="002D1CC1"/>
    <w:rsid w:val="00331AEE"/>
    <w:rsid w:val="00333A68"/>
    <w:rsid w:val="00336660"/>
    <w:rsid w:val="00423FE8"/>
    <w:rsid w:val="0048383F"/>
    <w:rsid w:val="004C551F"/>
    <w:rsid w:val="005D57EB"/>
    <w:rsid w:val="006E70D9"/>
    <w:rsid w:val="00790652"/>
    <w:rsid w:val="007B76B5"/>
    <w:rsid w:val="0084077E"/>
    <w:rsid w:val="008A4734"/>
    <w:rsid w:val="00C648BD"/>
    <w:rsid w:val="00CB37A2"/>
    <w:rsid w:val="00EA563B"/>
    <w:rsid w:val="00F8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12B3F"/>
  <w15:chartTrackingRefBased/>
  <w15:docId w15:val="{81B31BE0-7B11-4C98-965B-8A048D30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CE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CEB"/>
  </w:style>
  <w:style w:type="paragraph" w:styleId="Footer">
    <w:name w:val="footer"/>
    <w:basedOn w:val="Normal"/>
    <w:link w:val="FooterChar"/>
    <w:uiPriority w:val="99"/>
    <w:unhideWhenUsed/>
    <w:rsid w:val="00051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CEB"/>
  </w:style>
  <w:style w:type="paragraph" w:styleId="NoSpacing">
    <w:name w:val="No Spacing"/>
    <w:uiPriority w:val="1"/>
    <w:qFormat/>
    <w:rsid w:val="00336660"/>
    <w:pPr>
      <w:spacing w:after="0" w:line="240" w:lineRule="auto"/>
    </w:pPr>
  </w:style>
  <w:style w:type="paragraph" w:styleId="ListParagraph">
    <w:name w:val="List Paragraph"/>
    <w:basedOn w:val="Normal"/>
    <w:uiPriority w:val="34"/>
    <w:qFormat/>
    <w:rsid w:val="006E7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Document_x0020_Type xmlns="2f254586-b35f-4441-a040-f54e6e92090e">
      <Value>EST Meetings</Value>
    </Document_x0020_Type>
  </documentManagement>
</p:properties>
</file>

<file path=customXml/itemProps1.xml><?xml version="1.0" encoding="utf-8"?>
<ds:datastoreItem xmlns:ds="http://schemas.openxmlformats.org/officeDocument/2006/customXml" ds:itemID="{C23D2B2B-B7AF-43DF-8567-DA28ADBBA720}">
  <ds:schemaRefs>
    <ds:schemaRef ds:uri="http://schemas.microsoft.com/sharepoint/v3/contenttype/forms"/>
  </ds:schemaRefs>
</ds:datastoreItem>
</file>

<file path=customXml/itemProps2.xml><?xml version="1.0" encoding="utf-8"?>
<ds:datastoreItem xmlns:ds="http://schemas.openxmlformats.org/officeDocument/2006/customXml" ds:itemID="{DE4586F8-F24E-49FC-BEF0-978A52507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1BA05D-197A-4865-9781-A50D1467D647}">
  <ds:schemaRefs>
    <ds:schemaRef ds:uri="http://schemas.microsoft.com/office/2006/metadata/properties"/>
    <ds:schemaRef ds:uri="http://schemas.microsoft.com/office/infopath/2007/PartnerControls"/>
    <ds:schemaRef ds:uri="2f254586-b35f-4441-a040-f54e6e92090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HEIMAN</dc:creator>
  <cp:keywords/>
  <dc:description/>
  <cp:lastModifiedBy>Kathy King</cp:lastModifiedBy>
  <cp:revision>2</cp:revision>
  <dcterms:created xsi:type="dcterms:W3CDTF">2024-01-04T14:57:00Z</dcterms:created>
  <dcterms:modified xsi:type="dcterms:W3CDTF">2024-01-04T14:57:00Z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